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center"/>
        <w:rPr>
          <w:rFonts w:ascii="Times New Roman" w:hAnsi="Times New Roman" w:cs="Times New Roman"/>
          <w:b/>
          <w:sz w:val="28"/>
          <w:szCs w:val="28"/>
        </w:rPr>
      </w:pPr>
      <w:r>
        <w:rPr>
          <w:rFonts w:ascii="Times New Roman" w:hAnsi="Times New Roman" w:cs="Times New Roman"/>
          <w:b/>
          <w:bCs/>
          <w:sz w:val="28"/>
          <w:szCs w:val="28"/>
        </w:rPr>
        <w:t>PENGELOLAAN DAN PERTANGGUNGJAWABAN DANA DESA YANG BERSUMBER DARI ANGGARAN BELANJA DAN PENDAPATAN NEGARA</w:t>
      </w:r>
    </w:p>
    <w:p>
      <w:pPr>
        <w:spacing w:after="0" w:line="360" w:lineRule="auto"/>
        <w:jc w:val="center"/>
        <w:rPr>
          <w:rFonts w:ascii="Times New Roman" w:hAnsi="Times New Roman" w:cs="Times New Roman"/>
          <w:b/>
          <w:sz w:val="24"/>
          <w:szCs w:val="24"/>
        </w:rPr>
      </w:pPr>
    </w:p>
    <w:p>
      <w:pPr>
        <w:spacing w:line="240" w:lineRule="auto"/>
        <w:jc w:val="center"/>
        <w:rPr>
          <w:rFonts w:hint="default" w:ascii="Times New Roman" w:hAnsi="Times New Roman" w:cs="Times New Roman"/>
          <w:b/>
          <w:sz w:val="24"/>
          <w:szCs w:val="24"/>
          <w:lang w:val="id-ID"/>
        </w:rPr>
      </w:pPr>
      <w:r>
        <w:rPr>
          <w:rFonts w:ascii="Times New Roman" w:hAnsi="Times New Roman" w:cs="Times New Roman"/>
          <w:b/>
          <w:sz w:val="24"/>
          <w:szCs w:val="24"/>
        </w:rPr>
        <w:t>Disampaikan pada Kegiatan Pengabdian Masyarakat di Kecamatan Kota Kabupaten Garut</w:t>
      </w:r>
      <w:r>
        <w:rPr>
          <w:rFonts w:hint="default" w:ascii="Times New Roman" w:hAnsi="Times New Roman" w:cs="Times New Roman"/>
          <w:b/>
          <w:sz w:val="24"/>
          <w:szCs w:val="24"/>
          <w:lang w:val="id-ID"/>
        </w:rPr>
        <w:t xml:space="preserve"> Tahun Akademik 2019/2020</w:t>
      </w:r>
    </w:p>
    <w:p>
      <w:pPr>
        <w:spacing w:line="360" w:lineRule="auto"/>
        <w:jc w:val="center"/>
        <w:rPr>
          <w:rFonts w:ascii="Times New Roman" w:hAnsi="Times New Roman" w:cs="Times New Roman"/>
          <w:b/>
          <w:sz w:val="24"/>
          <w:szCs w:val="24"/>
        </w:rPr>
      </w:pPr>
    </w:p>
    <w:p>
      <w:pPr>
        <w:spacing w:line="360" w:lineRule="auto"/>
        <w:jc w:val="center"/>
        <w:rPr>
          <w:rFonts w:ascii="Times New Roman" w:hAnsi="Times New Roman" w:cs="Times New Roman"/>
          <w:b/>
          <w:sz w:val="24"/>
          <w:szCs w:val="24"/>
        </w:rPr>
      </w:pPr>
      <w:r>
        <w:rPr>
          <w:rFonts w:ascii="Times New Roman" w:hAnsi="Times New Roman" w:cs="Times New Roman"/>
          <w:b/>
          <w:sz w:val="24"/>
          <w:szCs w:val="24"/>
        </w:rPr>
        <w:t>Oleh</w:t>
      </w:r>
    </w:p>
    <w:p>
      <w:pPr>
        <w:spacing w:line="360" w:lineRule="auto"/>
        <w:jc w:val="center"/>
        <w:rPr>
          <w:rFonts w:ascii="Times New Roman" w:hAnsi="Times New Roman" w:cs="Times New Roman"/>
          <w:b/>
          <w:sz w:val="24"/>
          <w:szCs w:val="24"/>
        </w:rPr>
      </w:pPr>
      <w:r>
        <w:rPr>
          <w:rFonts w:ascii="Times New Roman" w:hAnsi="Times New Roman" w:cs="Times New Roman"/>
          <w:b/>
          <w:sz w:val="24"/>
          <w:szCs w:val="24"/>
        </w:rPr>
        <w:t>Dr. Marojahan JS Panjaitan, S.H., M.H.</w:t>
      </w:r>
    </w:p>
    <w:p>
      <w:pPr>
        <w:spacing w:line="360" w:lineRule="auto"/>
        <w:jc w:val="center"/>
        <w:rPr>
          <w:rFonts w:ascii="Times New Roman" w:hAnsi="Times New Roman" w:cs="Times New Roman"/>
          <w:b/>
          <w:sz w:val="28"/>
          <w:szCs w:val="28"/>
        </w:rPr>
      </w:pPr>
      <w:r>
        <w:drawing>
          <wp:inline distT="0" distB="0" distL="0" distR="0">
            <wp:extent cx="2125345" cy="2015490"/>
            <wp:effectExtent l="0" t="0" r="0" b="0"/>
            <wp:docPr id="9" name="Picture 9" descr="Hasil gambar untuk download logo sekolah tinggi hukum band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Hasil gambar untuk download logo sekolah tinggi hukum bandu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a:xfrm>
                      <a:off x="0" y="0"/>
                      <a:ext cx="2125391" cy="2016000"/>
                    </a:xfrm>
                    <a:prstGeom prst="rect">
                      <a:avLst/>
                    </a:prstGeom>
                    <a:noFill/>
                    <a:ln>
                      <a:noFill/>
                    </a:ln>
                  </pic:spPr>
                </pic:pic>
              </a:graphicData>
            </a:graphic>
          </wp:inline>
        </w:drawing>
      </w:r>
    </w:p>
    <w:p>
      <w:pPr>
        <w:spacing w:line="360" w:lineRule="auto"/>
        <w:jc w:val="center"/>
        <w:rPr>
          <w:rFonts w:ascii="Times New Roman" w:hAnsi="Times New Roman" w:cs="Times New Roman"/>
          <w:b/>
          <w:sz w:val="24"/>
          <w:szCs w:val="24"/>
        </w:rPr>
      </w:pPr>
    </w:p>
    <w:p>
      <w:pPr>
        <w:spacing w:line="360" w:lineRule="auto"/>
        <w:rPr>
          <w:rFonts w:ascii="Times New Roman" w:hAnsi="Times New Roman" w:cs="Times New Roman"/>
          <w:b/>
          <w:sz w:val="24"/>
          <w:szCs w:val="24"/>
        </w:rPr>
      </w:pPr>
    </w:p>
    <w:p>
      <w:pPr>
        <w:spacing w:line="360" w:lineRule="auto"/>
        <w:rPr>
          <w:rFonts w:ascii="Times New Roman" w:hAnsi="Times New Roman" w:cs="Times New Roman"/>
          <w:b/>
          <w:sz w:val="24"/>
          <w:szCs w:val="24"/>
        </w:rPr>
      </w:pPr>
    </w:p>
    <w:p>
      <w:pPr>
        <w:spacing w:line="360" w:lineRule="auto"/>
        <w:rPr>
          <w:rFonts w:ascii="Times New Roman" w:hAnsi="Times New Roman" w:cs="Times New Roman"/>
          <w:b/>
          <w:sz w:val="24"/>
          <w:szCs w:val="24"/>
        </w:rPr>
      </w:pPr>
    </w:p>
    <w:p>
      <w:pPr>
        <w:spacing w:line="360" w:lineRule="auto"/>
        <w:jc w:val="center"/>
        <w:rPr>
          <w:rFonts w:ascii="Times New Roman" w:hAnsi="Times New Roman" w:cs="Times New Roman"/>
          <w:b/>
          <w:sz w:val="28"/>
          <w:szCs w:val="28"/>
        </w:rPr>
      </w:pPr>
      <w:r>
        <w:rPr>
          <w:rFonts w:ascii="Times New Roman" w:hAnsi="Times New Roman" w:cs="Times New Roman"/>
          <w:b/>
          <w:sz w:val="28"/>
          <w:szCs w:val="28"/>
        </w:rPr>
        <w:t>LEMBAGA PENELITIAN DAN PENGABDIAN KEPADA MASYARAKAT</w:t>
      </w:r>
    </w:p>
    <w:p>
      <w:pPr>
        <w:spacing w:line="360" w:lineRule="auto"/>
        <w:jc w:val="center"/>
        <w:rPr>
          <w:rFonts w:ascii="Times New Roman" w:hAnsi="Times New Roman" w:cs="Times New Roman"/>
          <w:b/>
          <w:sz w:val="28"/>
          <w:szCs w:val="28"/>
        </w:rPr>
      </w:pPr>
      <w:r>
        <w:rPr>
          <w:rFonts w:ascii="Times New Roman" w:hAnsi="Times New Roman" w:cs="Times New Roman"/>
          <w:b/>
          <w:sz w:val="28"/>
          <w:szCs w:val="28"/>
        </w:rPr>
        <w:t>SEKOLAH TINGGI HUKUM BANDUNG</w:t>
      </w:r>
    </w:p>
    <w:p>
      <w:pPr>
        <w:spacing w:line="360" w:lineRule="auto"/>
        <w:jc w:val="center"/>
        <w:rPr>
          <w:rFonts w:ascii="Times New Roman" w:hAnsi="Times New Roman" w:cs="Times New Roman"/>
          <w:b/>
          <w:sz w:val="28"/>
          <w:szCs w:val="28"/>
        </w:rPr>
      </w:pPr>
      <w:r>
        <w:rPr>
          <w:rFonts w:ascii="Times New Roman" w:hAnsi="Times New Roman" w:cs="Times New Roman"/>
          <w:b/>
          <w:sz w:val="28"/>
          <w:szCs w:val="28"/>
        </w:rPr>
        <w:t>2019</w:t>
      </w:r>
    </w:p>
    <w:p>
      <w:pPr>
        <w:rPr>
          <w:rFonts w:ascii="Times New Roman" w:hAnsi="Times New Roman" w:cs="Times New Roman"/>
          <w:b/>
          <w:bCs/>
          <w:sz w:val="24"/>
          <w:szCs w:val="24"/>
        </w:rPr>
      </w:pPr>
      <w:bookmarkStart w:id="0" w:name="_GoBack"/>
      <w:bookmarkEnd w:id="0"/>
    </w:p>
    <w:p>
      <w:pPr>
        <w:rPr>
          <w:rFonts w:ascii="Times New Roman" w:hAnsi="Times New Roman" w:cs="Times New Roman"/>
          <w:b/>
          <w:bCs/>
          <w:sz w:val="24"/>
          <w:szCs w:val="24"/>
        </w:rPr>
      </w:pPr>
      <w:r>
        <w:rPr>
          <w:rFonts w:ascii="Times New Roman" w:hAnsi="Times New Roman" w:cs="Times New Roman"/>
          <w:b/>
          <w:bCs/>
          <w:sz w:val="24"/>
          <w:szCs w:val="24"/>
        </w:rPr>
        <w:br w:type="page"/>
      </w:r>
    </w:p>
    <w:p>
      <w:pPr>
        <w:spacing w:after="0" w:line="360" w:lineRule="auto"/>
        <w:jc w:val="center"/>
        <w:rPr>
          <w:rFonts w:ascii="Times New Roman" w:hAnsi="Times New Roman" w:cs="Times New Roman"/>
          <w:b/>
          <w:bCs/>
          <w:sz w:val="24"/>
          <w:szCs w:val="24"/>
        </w:rPr>
      </w:pPr>
      <w:r>
        <w:rPr>
          <w:rFonts w:ascii="Times New Roman" w:hAnsi="Times New Roman" w:cs="Times New Roman"/>
          <w:b/>
          <w:bCs/>
          <w:sz w:val="24"/>
          <w:szCs w:val="24"/>
        </w:rPr>
        <w:t>PENGELOLAAN DAN PERTANGGUNGJAWABAN DANA DESA YANG BERSUMBER DARI ANGGARAN BELANJA DAN PENDAPATAN NEGARA</w:t>
      </w:r>
      <w:r>
        <w:rPr>
          <w:rStyle w:val="6"/>
          <w:rFonts w:ascii="Times New Roman" w:hAnsi="Times New Roman" w:cs="Times New Roman"/>
          <w:b/>
          <w:bCs/>
          <w:sz w:val="24"/>
          <w:szCs w:val="24"/>
        </w:rPr>
        <w:footnoteReference w:id="0"/>
      </w:r>
    </w:p>
    <w:p>
      <w:pPr>
        <w:spacing w:after="0" w:line="360" w:lineRule="auto"/>
        <w:jc w:val="center"/>
        <w:rPr>
          <w:rFonts w:ascii="Times New Roman" w:hAnsi="Times New Roman" w:cs="Times New Roman"/>
          <w:b/>
          <w:bCs/>
          <w:sz w:val="24"/>
          <w:szCs w:val="24"/>
        </w:rPr>
      </w:pPr>
      <w:r>
        <w:rPr>
          <w:rFonts w:ascii="Times New Roman" w:hAnsi="Times New Roman" w:cs="Times New Roman"/>
          <w:b/>
          <w:bCs/>
          <w:sz w:val="24"/>
          <w:szCs w:val="24"/>
        </w:rPr>
        <w:t>Oleh</w:t>
      </w:r>
    </w:p>
    <w:p>
      <w:pPr>
        <w:spacing w:after="0" w:line="360" w:lineRule="auto"/>
        <w:jc w:val="center"/>
        <w:rPr>
          <w:rFonts w:ascii="Times New Roman" w:hAnsi="Times New Roman" w:cs="Times New Roman"/>
          <w:b/>
          <w:bCs/>
          <w:sz w:val="24"/>
          <w:szCs w:val="24"/>
        </w:rPr>
      </w:pPr>
      <w:r>
        <w:rPr>
          <w:rFonts w:ascii="Times New Roman" w:hAnsi="Times New Roman" w:cs="Times New Roman"/>
          <w:b/>
          <w:bCs/>
          <w:sz w:val="24"/>
          <w:szCs w:val="24"/>
        </w:rPr>
        <w:t>Dr. Marojahan JS Panjaitaan, S.H., M.H.</w:t>
      </w:r>
    </w:p>
    <w:p>
      <w:pPr>
        <w:spacing w:after="0" w:line="360" w:lineRule="auto"/>
        <w:jc w:val="both"/>
        <w:rPr>
          <w:rFonts w:ascii="Times New Roman" w:hAnsi="Times New Roman" w:cs="Times New Roman"/>
          <w:b/>
          <w:bCs/>
          <w:sz w:val="24"/>
          <w:szCs w:val="24"/>
        </w:rPr>
      </w:pPr>
      <w:r>
        <w:rPr>
          <w:rFonts w:ascii="Times New Roman" w:hAnsi="Times New Roman" w:cs="Times New Roman"/>
          <w:b/>
          <w:bCs/>
          <w:sz w:val="24"/>
          <w:szCs w:val="24"/>
        </w:rPr>
        <w:t>Pendahuluan</w:t>
      </w:r>
    </w:p>
    <w:p>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Bukan rahasia umum lagi, selama ini masyarakat di pedesaan selalu termarjinalkan dalam mendapatkan dan menikmati hasil pembangunan. Dikatakan demikian, sebab selama ini pembangunan hanya dipusatkan diperkotaan. Kita bisa melihat bagaimana jalan diperkotaan begitu mulus, listrik tersedia sepanjang waktu, pendapatannya lebih besar, dan hidupnya lebih bahagia. Suatu hal yang sangat jauh dengan kehidupan dipedesaan, jalannya hanya jalan setapak dan becek, listrik sebagian besar belum ada, pendapatannya kecil, dan hidup dalam kemiskinan. Jauh dari bahagia. </w:t>
      </w:r>
    </w:p>
    <w:p>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Dalam upaya menciptakan kebahagiaan di pedesaan digulirkan dana yang berasal dari APBN yang disebut Dana Desa. Dana Desa tersebut digunakan untuk “</w:t>
      </w:r>
      <w:r>
        <w:rPr>
          <w:rFonts w:ascii="Times New Roman" w:hAnsi="Times New Roman" w:cs="Times New Roman"/>
          <w:b/>
          <w:bCs/>
          <w:i/>
          <w:iCs/>
          <w:sz w:val="24"/>
          <w:szCs w:val="24"/>
        </w:rPr>
        <w:t>membiayai penyelenggaraan pemerintahan, pelaksanaan pembangunan, pembinaan kemasyarakatan, dan pemberdayaan masyarakat”</w:t>
      </w:r>
      <w:r>
        <w:rPr>
          <w:rFonts w:ascii="Times New Roman" w:hAnsi="Times New Roman" w:cs="Times New Roman"/>
          <w:sz w:val="24"/>
          <w:szCs w:val="24"/>
        </w:rPr>
        <w:t>. Dana Desa tersebut wajib dikelola berdasarkan asas transparan, akuntabel, partisipatif serta dilakukan dengan tertib dan disiplin anggaran. Dana Desa tersebut ditransfer melalui Anggaran Pendapatan dan Belanja Daerah Kabupaten/Kota, kemudian diteruskan ke Rekening Kas Desa</w:t>
      </w:r>
      <w:r>
        <w:rPr>
          <w:rStyle w:val="6"/>
          <w:rFonts w:ascii="Times New Roman" w:hAnsi="Times New Roman" w:cs="Times New Roman"/>
          <w:sz w:val="24"/>
          <w:szCs w:val="24"/>
        </w:rPr>
        <w:t xml:space="preserve"> </w:t>
      </w:r>
      <w:r>
        <w:rPr>
          <w:rStyle w:val="6"/>
          <w:rFonts w:ascii="Times New Roman" w:hAnsi="Times New Roman" w:cs="Times New Roman"/>
          <w:sz w:val="24"/>
          <w:szCs w:val="24"/>
        </w:rPr>
        <w:footnoteReference w:id="1"/>
      </w:r>
      <w:r>
        <w:rPr>
          <w:rFonts w:ascii="Times New Roman" w:hAnsi="Times New Roman" w:cs="Times New Roman"/>
          <w:sz w:val="24"/>
          <w:szCs w:val="24"/>
        </w:rPr>
        <w:t>. Dalam Pasal 12 PP No. 22 Tahun 2015 tentang Perubahan PP. 60 Tahun 2014 tentang Dana Desa Yang Bersumber Dari Anggaran Pendapatan Dan Belanja Negara, disebutkan, bahwa :</w:t>
      </w:r>
    </w:p>
    <w:p>
      <w:pPr>
        <w:pStyle w:val="9"/>
        <w:numPr>
          <w:ilvl w:val="0"/>
          <w:numId w:val="1"/>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Bupati/Walikota menetapkan Dana Desa untuk setiap Desa di wilayahnya.</w:t>
      </w:r>
    </w:p>
    <w:p>
      <w:pPr>
        <w:pStyle w:val="9"/>
        <w:numPr>
          <w:ilvl w:val="0"/>
          <w:numId w:val="1"/>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Dana Desa untuk setiap Desa dihitung secara berkeadilan berdasarkan:</w:t>
      </w:r>
    </w:p>
    <w:p>
      <w:pPr>
        <w:pStyle w:val="9"/>
        <w:numPr>
          <w:ilvl w:val="0"/>
          <w:numId w:val="2"/>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alokasi dasar; dan </w:t>
      </w:r>
    </w:p>
    <w:p>
      <w:pPr>
        <w:pStyle w:val="9"/>
        <w:numPr>
          <w:ilvl w:val="0"/>
          <w:numId w:val="2"/>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alokasi yang dihitung dengan memperhatikan jumlah penduduk, angka kemiskinan, luas wilayah, dan tingkat kesulitan geografis setiap Desa.</w:t>
      </w:r>
    </w:p>
    <w:p>
      <w:pPr>
        <w:pStyle w:val="9"/>
        <w:numPr>
          <w:ilvl w:val="0"/>
          <w:numId w:val="1"/>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Tingkat kesulitan geografis ditunjukkan oleh Indeks Kesulitan Geografis Desa yang ditentukan oleh factor yang terdiri atas:</w:t>
      </w:r>
    </w:p>
    <w:p>
      <w:pPr>
        <w:pStyle w:val="9"/>
        <w:numPr>
          <w:ilvl w:val="0"/>
          <w:numId w:val="3"/>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Ketersediaan prasarana pelayanan dasar;</w:t>
      </w:r>
    </w:p>
    <w:p>
      <w:pPr>
        <w:pStyle w:val="9"/>
        <w:numPr>
          <w:ilvl w:val="0"/>
          <w:numId w:val="3"/>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Kondisi infrastruktur; dan</w:t>
      </w:r>
    </w:p>
    <w:p>
      <w:pPr>
        <w:pStyle w:val="9"/>
        <w:numPr>
          <w:ilvl w:val="0"/>
          <w:numId w:val="3"/>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Aksesibilitas/transportasi.</w:t>
      </w:r>
    </w:p>
    <w:p>
      <w:pPr>
        <w:pStyle w:val="9"/>
        <w:numPr>
          <w:ilvl w:val="0"/>
          <w:numId w:val="1"/>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Bupati/Walikota menyusun dan menetapkan IKG Desa.</w:t>
      </w:r>
    </w:p>
    <w:p>
      <w:pPr>
        <w:pStyle w:val="9"/>
        <w:numPr>
          <w:ilvl w:val="0"/>
          <w:numId w:val="1"/>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Data jumlah penduduk, angka kemiskinan, luas wilayah, dan tingkat kesulitan geografis setiap Desa bersumber dari kementerian yang berwenang dan/atau Lembaga yang menyelenggarakan urusan pemerintahan di bidang statistik.</w:t>
      </w:r>
    </w:p>
    <w:p>
      <w:pPr>
        <w:pStyle w:val="9"/>
        <w:numPr>
          <w:ilvl w:val="0"/>
          <w:numId w:val="1"/>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Ketentuan mengenai tata cara pembagian dan penetapan rincian Dana Desa setiap Desa ditetapkan dengan peraturan bupati/walikota.</w:t>
      </w:r>
    </w:p>
    <w:p>
      <w:pPr>
        <w:pStyle w:val="9"/>
        <w:numPr>
          <w:ilvl w:val="0"/>
          <w:numId w:val="1"/>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Bupati/walikota menyampaikan peraturan bupati/walikota kepada Menteri dengan tembusan kepada Menteri Dalam Negeri dan Menteri Desa, Pembangunan Daerah Tertinggal dan Transmigrasi, serta gubernur dan kepala desa.</w:t>
      </w:r>
    </w:p>
    <w:p>
      <w:pPr>
        <w:spacing w:after="0" w:line="360" w:lineRule="auto"/>
        <w:jc w:val="both"/>
        <w:rPr>
          <w:rFonts w:ascii="Times New Roman" w:hAnsi="Times New Roman" w:cs="Times New Roman"/>
          <w:sz w:val="24"/>
          <w:szCs w:val="24"/>
        </w:rPr>
      </w:pPr>
      <w:r>
        <w:rPr>
          <w:rFonts w:ascii="Times New Roman" w:hAnsi="Times New Roman" w:cs="Times New Roman"/>
          <w:sz w:val="24"/>
          <w:szCs w:val="24"/>
        </w:rPr>
        <w:t>Untuk melaksanakan ketentuan di atas, Pemerintah Kabupaten Garut menerbitkan Peraturan Bupati Garut Nomor 3 Tahun 2019 tentang Tata Cara Pembagian Dan Penetapan Rincian Besaran Dana Desa Pada Setiap Desa Tahun Anggaran 2019. Dalam Pasal 3 Perbut Garut tersebut disebutkan, bahwa :</w:t>
      </w:r>
    </w:p>
    <w:p>
      <w:pPr>
        <w:spacing w:after="0" w:line="360" w:lineRule="auto"/>
        <w:ind w:left="851"/>
        <w:jc w:val="both"/>
        <w:rPr>
          <w:rFonts w:ascii="Times New Roman" w:hAnsi="Times New Roman" w:cs="Times New Roman"/>
          <w:sz w:val="24"/>
          <w:szCs w:val="24"/>
        </w:rPr>
      </w:pPr>
      <w:r>
        <w:rPr>
          <w:rFonts w:ascii="Times New Roman" w:hAnsi="Times New Roman" w:cs="Times New Roman"/>
          <w:sz w:val="24"/>
          <w:szCs w:val="24"/>
        </w:rPr>
        <w:t xml:space="preserve">Dana Desa setiap Desa dihitung secara merata dan berkeadilan berdasarkan : </w:t>
      </w:r>
    </w:p>
    <w:p>
      <w:pPr>
        <w:spacing w:after="0" w:line="360" w:lineRule="auto"/>
        <w:ind w:left="1134"/>
        <w:jc w:val="both"/>
        <w:rPr>
          <w:rFonts w:ascii="Times New Roman" w:hAnsi="Times New Roman" w:cs="Times New Roman"/>
          <w:sz w:val="24"/>
          <w:szCs w:val="24"/>
        </w:rPr>
      </w:pPr>
      <w:r>
        <w:rPr>
          <w:rFonts w:ascii="Times New Roman" w:hAnsi="Times New Roman" w:cs="Times New Roman"/>
          <w:sz w:val="24"/>
          <w:szCs w:val="24"/>
        </w:rPr>
        <w:t>a. alokasi dasar setiap Desa;</w:t>
      </w:r>
    </w:p>
    <w:p>
      <w:pPr>
        <w:spacing w:after="0" w:line="360" w:lineRule="auto"/>
        <w:ind w:left="1134"/>
        <w:jc w:val="both"/>
        <w:rPr>
          <w:rFonts w:ascii="Times New Roman" w:hAnsi="Times New Roman" w:cs="Times New Roman"/>
          <w:sz w:val="24"/>
          <w:szCs w:val="24"/>
        </w:rPr>
      </w:pPr>
      <w:r>
        <w:rPr>
          <w:rFonts w:ascii="Times New Roman" w:hAnsi="Times New Roman" w:cs="Times New Roman"/>
          <w:sz w:val="24"/>
          <w:szCs w:val="24"/>
        </w:rPr>
        <w:t>b. alokasi afirmasi setiap Desa; dan</w:t>
      </w:r>
    </w:p>
    <w:p>
      <w:pPr>
        <w:spacing w:after="0" w:line="360" w:lineRule="auto"/>
        <w:ind w:left="1134"/>
        <w:jc w:val="both"/>
        <w:rPr>
          <w:rFonts w:ascii="Times New Roman" w:hAnsi="Times New Roman" w:cs="Times New Roman"/>
          <w:sz w:val="24"/>
          <w:szCs w:val="24"/>
        </w:rPr>
      </w:pPr>
      <w:r>
        <w:rPr>
          <w:rFonts w:ascii="Times New Roman" w:hAnsi="Times New Roman" w:cs="Times New Roman"/>
          <w:sz w:val="24"/>
          <w:szCs w:val="24"/>
        </w:rPr>
        <w:t>c. alokasi formula setiap Desa</w:t>
      </w:r>
    </w:p>
    <w:p>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Seiring dengan penyaluran Dana Desa untuk pembangunan Desa, ternyata banyak membawa permasalahan. Permasalahan terjadi antara lain disebabkan pada kemampuan manajerial aparat pedesaan dalam mengelola dan mempertanggungjawabkan Dana Desa tersebut. Di samping itu, banyak aparat Desa yang menggunakan Dana Desa tersebut untuk memperkaya diri sendiri, sehingga banyak yang dihukum. Nyimas Latifah Letty Aziz mengatakan, bahwa kasus-kasus yang terjadi seperti pelaporan penggunaan Dana Desa yang tidak sesuai peruntukannya, pemotongan Dana Desa untuk keperluan pribadi, dan tumpang tindihnya penggunaan Dana Desa, Anggaran Dana Desa, dan Bantuan Keuangan.</w:t>
      </w:r>
      <w:r>
        <w:rPr>
          <w:rStyle w:val="6"/>
          <w:rFonts w:ascii="Times New Roman" w:hAnsi="Times New Roman" w:cs="Times New Roman"/>
          <w:sz w:val="24"/>
          <w:szCs w:val="24"/>
        </w:rPr>
        <w:footnoteReference w:id="2"/>
      </w:r>
      <w:r>
        <w:rPr>
          <w:rFonts w:ascii="Times New Roman" w:hAnsi="Times New Roman" w:cs="Times New Roman"/>
          <w:sz w:val="24"/>
          <w:szCs w:val="24"/>
        </w:rPr>
        <w:t xml:space="preserve"> Menurut Ellectrananda Anugerah Ash-shidiqq, Hindrawan Wibisono, bahwa dalam Dana Desa, ada empat faktor penyebab Dana Desa dikorupsi, yakni :</w:t>
      </w:r>
    </w:p>
    <w:p>
      <w:pPr>
        <w:pStyle w:val="9"/>
        <w:numPr>
          <w:ilvl w:val="0"/>
          <w:numId w:val="4"/>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Kurang dilibatkannya masyarakat dalam proses perencanaan dan pengawasan dana desa. Akses masyarakat untuk mendapatkan informasi pengelolaan dana desa dan terlibat aktif dalam perencanaan dan pengelolaan pada praktiknya banyak dibatasi. Padahal, Pasal 68 UU Desa telah mengatur hak dan kewajiban masyarakat desa untuk mendapatkan akses dan dilibatkan dalam pembangunan desa. Pelibatan masyarakat ini menjadi faktor paling dasar karena masyarakat desa lah yang mengetahui kebutuhan desa dan secara langsung menyaksikan bagaimana pembangunan di desa.</w:t>
      </w:r>
    </w:p>
    <w:p>
      <w:pPr>
        <w:pStyle w:val="9"/>
        <w:numPr>
          <w:ilvl w:val="0"/>
          <w:numId w:val="4"/>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Terbatasnya kompetensi kepala desa dan perangkat desa. Keterbatasan ini khususnya mengenai teknis pengelolaan dana desa, pengadaan barang dan jasa, dan penyusunan pertanggungjawaban keuangan desa.</w:t>
      </w:r>
    </w:p>
    <w:p>
      <w:pPr>
        <w:pStyle w:val="9"/>
        <w:numPr>
          <w:ilvl w:val="0"/>
          <w:numId w:val="4"/>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Tidak optimalnya Lembaga-lembaga desa yang baik secara langsung maupun tidak memainkan peran penting dalam pemberdayaan masyarakat dan demokrasi tingkat desa, seperti Badan Permusyawaratan Desa (BPD) dan lainnya.</w:t>
      </w:r>
    </w:p>
    <w:p>
      <w:pPr>
        <w:pStyle w:val="9"/>
        <w:numPr>
          <w:ilvl w:val="0"/>
          <w:numId w:val="4"/>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Tidak kalah penting untuk diperhatikan adalah penyakit </w:t>
      </w:r>
      <w:r>
        <w:rPr>
          <w:rFonts w:ascii="Times New Roman" w:hAnsi="Times New Roman" w:cs="Times New Roman"/>
          <w:i/>
          <w:iCs/>
          <w:sz w:val="24"/>
          <w:szCs w:val="24"/>
        </w:rPr>
        <w:t xml:space="preserve">cost politic </w:t>
      </w:r>
      <w:r>
        <w:rPr>
          <w:rFonts w:ascii="Times New Roman" w:hAnsi="Times New Roman" w:cs="Times New Roman"/>
          <w:sz w:val="24"/>
          <w:szCs w:val="24"/>
        </w:rPr>
        <w:t>tinggi akibat kompetitifnya arena pemilihan kepala desa. Meningkatknya anggaran desa disertai dengan meningkatnya minat banyak pihak untuk maju dalam pemilihan kepala desa tanpa agenda dan komitmen membangun desa.</w:t>
      </w:r>
      <w:r>
        <w:rPr>
          <w:rStyle w:val="6"/>
          <w:rFonts w:ascii="Times New Roman" w:hAnsi="Times New Roman" w:cs="Times New Roman"/>
          <w:sz w:val="24"/>
          <w:szCs w:val="24"/>
        </w:rPr>
        <w:footnoteReference w:id="3"/>
      </w:r>
    </w:p>
    <w:p>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Berdasarkan hasil pemantauan ICW sejak tahun 2015 hingga semester I 2018, sedikitnya sudah ada 181 kasus korupsi dana desa dengan 184 tersangka korupsi dan nilai kerugian sebesar Rp. 40, 6 miliar.</w:t>
      </w:r>
      <w:r>
        <w:rPr>
          <w:rStyle w:val="6"/>
          <w:rFonts w:ascii="Times New Roman" w:hAnsi="Times New Roman" w:cs="Times New Roman"/>
          <w:sz w:val="24"/>
          <w:szCs w:val="24"/>
        </w:rPr>
        <w:footnoteReference w:id="4"/>
      </w:r>
      <w:r>
        <w:rPr>
          <w:rFonts w:ascii="Times New Roman" w:hAnsi="Times New Roman" w:cs="Times New Roman"/>
          <w:sz w:val="24"/>
          <w:szCs w:val="24"/>
        </w:rPr>
        <w:t xml:space="preserve"> Di Kabupaten Garut, menurut berita yang dihimpun, ada beberapa Kepala Desa yang tersandung penyalahgunaan Dana Desa, antara lain adalah : Kepala Desa Tegalpanjang, Kepala Desa Cigagade, Kepala Desa Simpang Cikajang, Kepala Desa Tambaksari, Kepala Desa Linggarjati. Di luar yang disebutkan ini, masih ada yang masih dalam proses penyelidikan. Dengan banyaknya para Kepala Desa yang tertangkap karena terbukti menyalahgunakan Dana Desa, sebagian Kepala Desa menjadi gamang dan resah dalam mengelola Dana Desa tersebut. Padahal, sepanjang Kepala Desa mengelola dan menggunakan Dana Desa tersebut sesuai peruntukannya, tidak perlu khawatir dan takut. Memang seperti dikemukakan oleh Elysabeth Permatasari </w:t>
      </w:r>
      <w:r>
        <w:rPr>
          <w:rFonts w:ascii="Times New Roman" w:hAnsi="Times New Roman" w:cs="Times New Roman"/>
          <w:i/>
          <w:iCs/>
          <w:sz w:val="24"/>
          <w:szCs w:val="24"/>
        </w:rPr>
        <w:t>et al</w:t>
      </w:r>
      <w:r>
        <w:rPr>
          <w:rFonts w:ascii="Times New Roman" w:hAnsi="Times New Roman" w:cs="Times New Roman"/>
          <w:sz w:val="24"/>
          <w:szCs w:val="24"/>
        </w:rPr>
        <w:t xml:space="preserve"> dalam penelitiannya, ada dua faktor penghambat pengelolaan dan pelaporan Dana Desa itu, yakni:</w:t>
      </w:r>
    </w:p>
    <w:p>
      <w:pPr>
        <w:pStyle w:val="9"/>
        <w:spacing w:after="0" w:line="360" w:lineRule="auto"/>
        <w:jc w:val="both"/>
        <w:rPr>
          <w:rFonts w:ascii="Times New Roman" w:hAnsi="Times New Roman" w:cs="Times New Roman"/>
          <w:sz w:val="24"/>
          <w:szCs w:val="24"/>
        </w:rPr>
      </w:pPr>
      <w:r>
        <w:rPr>
          <w:rFonts w:ascii="Times New Roman" w:hAnsi="Times New Roman" w:cs="Times New Roman"/>
          <w:sz w:val="24"/>
          <w:szCs w:val="24"/>
        </w:rPr>
        <w:t>a. Faktor Internal</w:t>
      </w:r>
    </w:p>
    <w:p>
      <w:pPr>
        <w:pStyle w:val="9"/>
        <w:numPr>
          <w:ilvl w:val="0"/>
          <w:numId w:val="5"/>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Kualitas Sumber Daya Manusia</w:t>
      </w:r>
    </w:p>
    <w:p>
      <w:pPr>
        <w:pStyle w:val="9"/>
        <w:spacing w:after="0" w:line="360" w:lineRule="auto"/>
        <w:ind w:left="1682"/>
        <w:jc w:val="both"/>
        <w:rPr>
          <w:rFonts w:ascii="Times New Roman" w:hAnsi="Times New Roman" w:cs="Times New Roman"/>
          <w:sz w:val="24"/>
          <w:szCs w:val="24"/>
        </w:rPr>
      </w:pPr>
      <w:r>
        <w:rPr>
          <w:rFonts w:ascii="Times New Roman" w:hAnsi="Times New Roman" w:cs="Times New Roman"/>
          <w:sz w:val="24"/>
          <w:szCs w:val="24"/>
        </w:rPr>
        <w:t>Perangkat Desa mempunyai tugas masing-masing dengan pembagiannya, tetapi dalam melaksanakan kegiatan operasional masih minim keterampilan.</w:t>
      </w:r>
    </w:p>
    <w:p>
      <w:pPr>
        <w:pStyle w:val="9"/>
        <w:numPr>
          <w:ilvl w:val="0"/>
          <w:numId w:val="5"/>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Kurangnya Pengetahuan Undang-Undang Desa.</w:t>
      </w:r>
    </w:p>
    <w:p>
      <w:pPr>
        <w:pStyle w:val="9"/>
        <w:spacing w:after="0" w:line="360" w:lineRule="auto"/>
        <w:ind w:left="1682"/>
        <w:jc w:val="both"/>
        <w:rPr>
          <w:rFonts w:ascii="Times New Roman" w:hAnsi="Times New Roman" w:cs="Times New Roman"/>
          <w:sz w:val="24"/>
          <w:szCs w:val="24"/>
        </w:rPr>
      </w:pPr>
      <w:r>
        <w:rPr>
          <w:rFonts w:ascii="Times New Roman" w:hAnsi="Times New Roman" w:cs="Times New Roman"/>
          <w:sz w:val="24"/>
          <w:szCs w:val="24"/>
        </w:rPr>
        <w:t>Akibat dari kurangnya pengetahuan dan pemahaman tentang Undang-Undang Desa, maka terjadi kesulitan dalam mengelola data keuangan.</w:t>
      </w:r>
    </w:p>
    <w:p>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b. Faktor Eksternal</w:t>
      </w:r>
    </w:p>
    <w:p>
      <w:pPr>
        <w:spacing w:after="0" w:line="360" w:lineRule="auto"/>
        <w:ind w:left="993"/>
        <w:jc w:val="both"/>
        <w:rPr>
          <w:rFonts w:ascii="Times New Roman" w:hAnsi="Times New Roman" w:cs="Times New Roman"/>
          <w:sz w:val="24"/>
          <w:szCs w:val="24"/>
        </w:rPr>
      </w:pPr>
      <w:r>
        <w:rPr>
          <w:rFonts w:ascii="Times New Roman" w:hAnsi="Times New Roman" w:cs="Times New Roman"/>
          <w:sz w:val="24"/>
          <w:szCs w:val="24"/>
        </w:rPr>
        <w:t>Kurangnya pendampingan dan pelatihan terhadap Pemerintah Desa dalam melakukan pertanggungjawaban mengakibatkan kurangnya pengetahuan dan wawasan Perangkat Desa terhadap Undang-Undang Desa. Hal tersebut juga menjadi kendala dalam mengelola laporan pertanggungjawaban untuk pencairan dana pada berikutnya.</w:t>
      </w:r>
      <w:r>
        <w:rPr>
          <w:rStyle w:val="6"/>
          <w:rFonts w:ascii="Times New Roman" w:hAnsi="Times New Roman" w:cs="Times New Roman"/>
          <w:sz w:val="24"/>
          <w:szCs w:val="24"/>
        </w:rPr>
        <w:footnoteReference w:id="5"/>
      </w:r>
    </w:p>
    <w:p>
      <w:pPr>
        <w:spacing w:after="0" w:line="360" w:lineRule="auto"/>
        <w:ind w:firstLine="720"/>
        <w:jc w:val="both"/>
        <w:rPr>
          <w:rFonts w:ascii="Times New Roman" w:hAnsi="Times New Roman" w:cs="Times New Roman"/>
          <w:sz w:val="24"/>
          <w:szCs w:val="24"/>
        </w:rPr>
      </w:pPr>
    </w:p>
    <w:p>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Ada beberapa ketentuan hukum yang perlu dipedomani dalam mengelola Dana Desa tersebut, yakni:</w:t>
      </w:r>
    </w:p>
    <w:p>
      <w:pPr>
        <w:pStyle w:val="9"/>
        <w:numPr>
          <w:ilvl w:val="0"/>
          <w:numId w:val="6"/>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UU. No. 17 Tahun 2003 tentang Keuangan Negara.</w:t>
      </w:r>
    </w:p>
    <w:p>
      <w:pPr>
        <w:pStyle w:val="9"/>
        <w:numPr>
          <w:ilvl w:val="0"/>
          <w:numId w:val="6"/>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UU. No.1 Tahun 2004 tentang Perbendaharaan Negara</w:t>
      </w:r>
    </w:p>
    <w:p>
      <w:pPr>
        <w:pStyle w:val="9"/>
        <w:numPr>
          <w:ilvl w:val="0"/>
          <w:numId w:val="6"/>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UU. 15 Tahun 2006 tentang Badan Pemeriksa Keuangan Negara.</w:t>
      </w:r>
    </w:p>
    <w:p>
      <w:pPr>
        <w:pStyle w:val="9"/>
        <w:numPr>
          <w:ilvl w:val="0"/>
          <w:numId w:val="6"/>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UU. No. 6 Tahun Tahun 2014 tentang Desa</w:t>
      </w:r>
    </w:p>
    <w:p>
      <w:pPr>
        <w:pStyle w:val="9"/>
        <w:numPr>
          <w:ilvl w:val="0"/>
          <w:numId w:val="6"/>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PP. No. 60 Tahun 2014 yang sudah diubah dengan PP. 22 Tahun 2015 dan PP. No. 8 Tahun 2016 tentang Perubahan Kedua atas PP. No. 60 Tahun 2014 tentang Dana Desa yang Bersumber Dari Anggaran Pendapatan dan Belanja Negara.</w:t>
      </w:r>
    </w:p>
    <w:p>
      <w:pPr>
        <w:pStyle w:val="9"/>
        <w:numPr>
          <w:ilvl w:val="0"/>
          <w:numId w:val="6"/>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Peraturan Menteri Keuangan No. 226/PMK.07/2017 tentang Perubahan Rincian Dana Desa Menurut Daerah Kabupaten/Kota Tahun Anggaran 2018.</w:t>
      </w:r>
    </w:p>
    <w:p>
      <w:pPr>
        <w:pStyle w:val="9"/>
        <w:numPr>
          <w:ilvl w:val="0"/>
          <w:numId w:val="6"/>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Peraturan Menteri Keuangan No. 193/PMK.07/2018 tentang Pengelolaan Dana Desa.</w:t>
      </w:r>
    </w:p>
    <w:p>
      <w:pPr>
        <w:pStyle w:val="9"/>
        <w:numPr>
          <w:ilvl w:val="0"/>
          <w:numId w:val="6"/>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Peraturan Menteri Dalam Negeri No. 20 Tahun 2018 tentang Pengelolaan Keuangan Desa.</w:t>
      </w:r>
    </w:p>
    <w:p>
      <w:pPr>
        <w:pStyle w:val="9"/>
        <w:numPr>
          <w:ilvl w:val="0"/>
          <w:numId w:val="6"/>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Peraturan Menteri Desa, Pembangunan Daerah Tertinggal, dan Transmigrasi No. 16 Tahun 2018 tentang Prioritas Penggunaan Dana Desa Tahun 2019</w:t>
      </w:r>
    </w:p>
    <w:p>
      <w:pPr>
        <w:pStyle w:val="9"/>
        <w:numPr>
          <w:ilvl w:val="0"/>
          <w:numId w:val="6"/>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Peraturan Bupati Garut 2 Tahun 2019 tentang Tata Cara Pengalokasian dan Penyaluran Alokasi Dana Desa Tahun Anggaran 2019.</w:t>
      </w:r>
    </w:p>
    <w:p>
      <w:pPr>
        <w:pStyle w:val="9"/>
        <w:numPr>
          <w:ilvl w:val="0"/>
          <w:numId w:val="6"/>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Peraturan Bupati Garut No. 3 Tahun 2019 tentang Tata Cara Pembagian dan Penetapan Rincian Besaran Dana Desa Pada Setiap Desa Tahun Anggaran 2019.</w:t>
      </w:r>
    </w:p>
    <w:p>
      <w:pPr>
        <w:pStyle w:val="9"/>
        <w:spacing w:after="0" w:line="360" w:lineRule="auto"/>
        <w:jc w:val="both"/>
        <w:rPr>
          <w:rFonts w:ascii="Times New Roman" w:hAnsi="Times New Roman" w:cs="Times New Roman"/>
          <w:sz w:val="24"/>
          <w:szCs w:val="24"/>
        </w:rPr>
      </w:pPr>
    </w:p>
    <w:p>
      <w:pPr>
        <w:spacing w:after="0" w:line="360" w:lineRule="auto"/>
        <w:jc w:val="both"/>
        <w:rPr>
          <w:rFonts w:ascii="Times New Roman" w:hAnsi="Times New Roman" w:cs="Times New Roman"/>
          <w:b/>
          <w:bCs/>
          <w:sz w:val="24"/>
          <w:szCs w:val="24"/>
        </w:rPr>
      </w:pPr>
      <w:r>
        <w:rPr>
          <w:rFonts w:ascii="Times New Roman" w:hAnsi="Times New Roman" w:cs="Times New Roman"/>
          <w:b/>
          <w:bCs/>
          <w:sz w:val="24"/>
          <w:szCs w:val="24"/>
        </w:rPr>
        <w:t>Pengelolaan dan Pertanggungjawaban Dana Desa</w:t>
      </w:r>
    </w:p>
    <w:p>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Sebagai negara hukum, pengelolaaan keuangan negara itu harus sesuai dengan hukum. Landasan hukum pengelolaan keuangan negara antara lain adalah UU. No.17 Tahun 2003 tentang Keuangan Negara . Dalam Pasal 3 ayat (1) UU. No.17 Tahun 2003 tentang Keuangan Negara disebutkan bahwa keuangan negara dikelola secara tertib, taat pada peraturan perundang-undangan, efisien, ekonomis, efektif, transparan, dan bertanggung jawab dengan memperhatikan rasa keadillan dan kepatutan. Ketentuan ini wajib diperhatikan oleh para pengguna keuangan negara agar tujuan penggunaan uang negara sebagaimana disebut dalam Pasal 7 UU. No. 17 Tahun 2003 bisa tercapai. Adapun tujuan negara menurut UUD 1945 adalah menciptakan kebahagiaan bagi seluruh rakyat Indonesia. Hal itu disimpulkan dari alinea keempat pembukaan UUD 1945 yang antara lain mengatakan negara berkewajiban mewujudkan keadilan dan kesejahteraan bagi seluruh rakyat Indonesia. Ketika negara mampu memberikan keadilan dan kesejahteraan kepada seluruh rakyat, maka rakyatnya pasti bahagia. </w:t>
      </w:r>
    </w:p>
    <w:p>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Menurut Pasal 6 UU. No. 17 Tahun 2003 bahwa kekuasaan pengelolaan keuangan negara itu berada pada presiden sebagai kepala pemerintahan</w:t>
      </w:r>
      <w:r>
        <w:rPr>
          <w:rStyle w:val="6"/>
          <w:rFonts w:ascii="Times New Roman" w:hAnsi="Times New Roman" w:cs="Times New Roman"/>
          <w:sz w:val="24"/>
          <w:szCs w:val="24"/>
        </w:rPr>
        <w:footnoteReference w:id="6"/>
      </w:r>
      <w:r>
        <w:rPr>
          <w:rFonts w:ascii="Times New Roman" w:hAnsi="Times New Roman" w:cs="Times New Roman"/>
          <w:sz w:val="24"/>
          <w:szCs w:val="24"/>
        </w:rPr>
        <w:t>, yang pelaksanaannya dikuasakan kepada kepada :</w:t>
      </w:r>
    </w:p>
    <w:p>
      <w:pPr>
        <w:pStyle w:val="9"/>
        <w:numPr>
          <w:ilvl w:val="0"/>
          <w:numId w:val="7"/>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Menteri Keuangan, selaku pengelola fiscal dan Wakil Pemerintahan dalam kepemilikan kekayaan negara yang dipisahkan;</w:t>
      </w:r>
    </w:p>
    <w:p>
      <w:pPr>
        <w:pStyle w:val="9"/>
        <w:numPr>
          <w:ilvl w:val="0"/>
          <w:numId w:val="7"/>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Menteri/pimpinan Lembaga selaku Pengguna Anggaran/Pengguna Barang kementerian negara/Lembaga yang dipimpinnya;</w:t>
      </w:r>
    </w:p>
    <w:p>
      <w:pPr>
        <w:pStyle w:val="9"/>
        <w:numPr>
          <w:ilvl w:val="0"/>
          <w:numId w:val="7"/>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Diserahkan kepada gubernur/bupati/walikota selaku kepala pemerintahan daerah untuk mengelola keuangan daerah dan mewakili pemerintah daerah dalam kepemilikan kekayaan daerah yang dipisahkan.</w:t>
      </w:r>
    </w:p>
    <w:p>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Dalam Pasal 7 ayat (1) UU. No. 1 Tahun 2004 tentang Perbendaharaan Negara dikatakan bahwa sebagai bendahara umum negara adalah Menteri Keuangan.  </w:t>
      </w:r>
    </w:p>
    <w:p>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Sehubungan dengan penyaluran Dana Desa yang diperuntukkan untuk pembangunan Desa, dalam Peraturan Menteri Keuangan Nomor 226/PMK.07/2017, untuk tahun 2018, pemerintah menganggar Dana Desa untuk seluruh Indonesia sebesar Rp. 60.000.000.000.000.00 (enam puluh trilyun rupiah). Untuk Kabupaten Garut sebesar Rp. 393.536.092.000.00 (tiga ratus sembilan puluh tiga miliar lima ratus tiga puluh enam juta embilan puluh dua ribu rupiah) untuk 421 Desa. Suatu jumlah yang sungguh besar.</w:t>
      </w:r>
      <w:r>
        <w:rPr>
          <w:rStyle w:val="6"/>
          <w:rFonts w:ascii="Times New Roman" w:hAnsi="Times New Roman" w:cs="Times New Roman"/>
          <w:sz w:val="24"/>
          <w:szCs w:val="24"/>
        </w:rPr>
        <w:footnoteReference w:id="7"/>
      </w:r>
      <w:r>
        <w:rPr>
          <w:rFonts w:ascii="Times New Roman" w:hAnsi="Times New Roman" w:cs="Times New Roman"/>
          <w:sz w:val="24"/>
          <w:szCs w:val="24"/>
        </w:rPr>
        <w:t xml:space="preserve"> Dana Desa tersebut diperuntukan untuk alokasi dasar setiap Desa, alokasi afirmasi setiap Desa, dan alokasi formula setiap Desa.</w:t>
      </w:r>
    </w:p>
    <w:p>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Dalam Pasal 24 Permen Keuangan Nomor 226/PMK.07/2017 disebutkan, bahwa penyaluran Dana Desa dari RKUD ke RKD dilaksanakan oleh bupati/ wali kota setelah bupati/ wali kota menerima dokumen persyaratan penyaluran dari Kepala Desa, dengan ketentuan sebagai berikut:  </w:t>
      </w:r>
    </w:p>
    <w:p>
      <w:pPr>
        <w:pStyle w:val="9"/>
        <w:numPr>
          <w:ilvl w:val="0"/>
          <w:numId w:val="8"/>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tahap I berupa peraturan Desa mengenai APBDesa;  </w:t>
      </w:r>
    </w:p>
    <w:p>
      <w:pPr>
        <w:pStyle w:val="9"/>
        <w:numPr>
          <w:ilvl w:val="0"/>
          <w:numId w:val="8"/>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tahap II berupa laporan realisasi penyerapan dan capaian output Dana Desa tahun anggaran sebelumnya; dan </w:t>
      </w:r>
    </w:p>
    <w:p>
      <w:pPr>
        <w:pStyle w:val="9"/>
        <w:numPr>
          <w:ilvl w:val="0"/>
          <w:numId w:val="8"/>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tahap III berupa: 1. laporan realisasi penyerapan dan capaian output Dana Desa sampai dengan tahap II; dan 2. laporan konvergensi pencegahan stunting tingkat Desa tahun anggaran sebelumnya.  </w:t>
      </w:r>
    </w:p>
    <w:p>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Dalam hal penyaluran Dana Desa tahap I dan tahap II secara bersamaan, penyaluran Dana Desa dari RKUD ke RKD dilaksanakan setelah bupati/wali kota menerima dokumen persyaratan penyaluran dari Kepala Desa, dengan ketentuan sebagai berikut: </w:t>
      </w:r>
    </w:p>
    <w:p>
      <w:pPr>
        <w:pStyle w:val="9"/>
        <w:numPr>
          <w:ilvl w:val="0"/>
          <w:numId w:val="9"/>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tahap I dan tahap II berupa peraturan Desa mengenai APBDesa; dan </w:t>
      </w:r>
    </w:p>
    <w:p>
      <w:pPr>
        <w:pStyle w:val="9"/>
        <w:numPr>
          <w:ilvl w:val="0"/>
          <w:numId w:val="9"/>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tahap III berupa: </w:t>
      </w:r>
    </w:p>
    <w:p>
      <w:pPr>
        <w:pStyle w:val="9"/>
        <w:numPr>
          <w:ilvl w:val="0"/>
          <w:numId w:val="10"/>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laporan realisasi penyerapan dan capaian output Dana Desa tahun anggaran sebelumnya;  </w:t>
      </w:r>
    </w:p>
    <w:p>
      <w:pPr>
        <w:pStyle w:val="9"/>
        <w:numPr>
          <w:ilvl w:val="0"/>
          <w:numId w:val="10"/>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laporan konvergensi pencegahan stunting tingkat Desa tahun anggaran sebelumnya; dan  </w:t>
      </w:r>
    </w:p>
    <w:p>
      <w:pPr>
        <w:pStyle w:val="9"/>
        <w:numPr>
          <w:ilvl w:val="0"/>
          <w:numId w:val="10"/>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laporan realisasi penyerapan dan capaian output Dana Desa sampai dengan tahap II. </w:t>
      </w:r>
    </w:p>
    <w:p>
      <w:pPr>
        <w:spacing w:after="0" w:line="360" w:lineRule="auto"/>
        <w:jc w:val="both"/>
        <w:rPr>
          <w:rFonts w:ascii="Times New Roman" w:hAnsi="Times New Roman" w:cs="Times New Roman"/>
          <w:sz w:val="24"/>
          <w:szCs w:val="24"/>
        </w:rPr>
      </w:pPr>
      <w:r>
        <w:rPr>
          <w:rFonts w:ascii="Times New Roman" w:hAnsi="Times New Roman" w:cs="Times New Roman"/>
          <w:sz w:val="24"/>
          <w:szCs w:val="24"/>
        </w:rPr>
        <w:t>Laporan realisasi penyerapan dan capaian output Dana Desa sampai dengan tahap II menunjukkan rata-rata realisasi penyerapan paling sedikit sebesar 75% (tujuh puluh lima persen) dan rata-rata capaian output menunjukkan paling sedikit sebesar 50% (lima puluh persen).  Capaian output dihitung berdasarkan rata-rata persentase capaian output dari seluruh kegiatan.</w:t>
      </w:r>
    </w:p>
    <w:p>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Penyusunan laporan realisasi penyerapan dan capaian output dilakukan sesuai dengan tabel referensi data bidang, kegiatan, sifat kegiatan, uraian output, volume output, cara pengadaan, dan capaian output. Dalam hal tabel referensi data belum memenuhi kebutuhan input data, Kepala Desa dapat memutakhirkan tabel referensi data dengan mengacu pada peraturan yang diterbitkan oleh kementerian negara/lembaga terkait. </w:t>
      </w:r>
    </w:p>
    <w:p>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Dalam Pasal 25 Permen Keuangan Nomor 226/PMK.07/2017, bahwa penyaluran Dana Desa dari RKUD ke RKD dilaksanakan sesuai dengan ketentuan peraturan perundang-undangan.  Dalam hal terdapat Desa yang tidak terjangkau layanan perbankan yang menyebabkan tidak dapat dibuka RKD, bupati/wali kota mengatur lebih lanjut ketentuan mengenai penyaluran Dana Desa dari RKUD ke Desa khusus untuk Desa yang tidak terjangkau layanan perbankan dengan peraturan bupati/wali kota.  Bupati/ wali kota menyampaikan peraturan bupati/ wali kota sebagaimana dimaksud pada ayat (2) kepada Kepala KPPN selaku KPA Penyaluran DAK Fisik dan Dana Desa. Dalam Pasal 26 dikatakan, bahwa :</w:t>
      </w:r>
    </w:p>
    <w:p>
      <w:pPr>
        <w:pStyle w:val="9"/>
        <w:numPr>
          <w:ilvl w:val="0"/>
          <w:numId w:val="11"/>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Dalam rangka pertanggungjawaban penyaluran Dana Desa, KPA Penyaluran DAK Fisik dan Dana Desa menyampaikan laporan sebagaimana dimaksud dalam Pasal 16 ayat (7) huruf d kepada Koordinator KPA Penyaluran DAK Fisik dan Dana Desa paling lambat tanggal 10 (sepuluh) bulan berikutnya.  </w:t>
      </w:r>
    </w:p>
    <w:p>
      <w:pPr>
        <w:pStyle w:val="9"/>
        <w:numPr>
          <w:ilvl w:val="0"/>
          <w:numId w:val="11"/>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Koordinator KPA Penyaluran DAK Fisik dan Dana Desa sebagaimana dimaksud pada ayat (1) menyampaikan konsolidasi laporan sebagaimana dimaksud dalam Pasal 16 ayat (10) huruf a dan huruf b kepada Direktur Jenderal Perimbangan Keuangan setiap bulan paling lambat tanggal 15 (lima belas) bulan berikutnya. </w:t>
      </w:r>
    </w:p>
    <w:p>
      <w:pPr>
        <w:spacing w:after="0" w:line="360" w:lineRule="auto"/>
        <w:ind w:left="360"/>
        <w:jc w:val="both"/>
        <w:rPr>
          <w:rFonts w:ascii="Times New Roman" w:hAnsi="Times New Roman" w:cs="Times New Roman"/>
          <w:sz w:val="24"/>
          <w:szCs w:val="24"/>
        </w:rPr>
      </w:pPr>
      <w:r>
        <w:rPr>
          <w:rFonts w:ascii="Times New Roman" w:hAnsi="Times New Roman" w:cs="Times New Roman"/>
          <w:sz w:val="24"/>
          <w:szCs w:val="24"/>
        </w:rPr>
        <w:t>Kemudian di dalam Pasal 27 disebutkan, bahwa :</w:t>
      </w:r>
    </w:p>
    <w:p>
      <w:pPr>
        <w:pStyle w:val="9"/>
        <w:numPr>
          <w:ilvl w:val="0"/>
          <w:numId w:val="12"/>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Dalam rangka pertanggungjawaban pengelolaan BA BUN TKDD, Pemimpin PPA Pengelolaan BUN menyusun Laporan Keuangan TKDD sesuai dengan Peraturan Menteri Keuangan mengenai sistem akuntansi dan pelaporan TKDD.  </w:t>
      </w:r>
    </w:p>
    <w:p>
      <w:pPr>
        <w:pStyle w:val="9"/>
        <w:numPr>
          <w:ilvl w:val="0"/>
          <w:numId w:val="12"/>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Laporan Keuangan TKDD sebagaimana dimaksud pada ayat (1) mencakup pertanggungjawaban pengelolaan Dana Desa. </w:t>
      </w:r>
    </w:p>
    <w:p>
      <w:pPr>
        <w:pStyle w:val="9"/>
        <w:numPr>
          <w:ilvl w:val="0"/>
          <w:numId w:val="12"/>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Laporan Keuangan TKDD sebagaimana dimaksud pada ayat (1) disusun oleh unit eselon II Direktorat Jenderal Perimbangan Keuangan yang ditunjuk selaku Unit Akuntansi dan Pelaporan Keuangan Pembantu Bendahara Umum Negara Pengelolaan TKDD menggunakan sistem aplikasi terintegrasi.</w:t>
      </w:r>
    </w:p>
    <w:p>
      <w:pPr>
        <w:pStyle w:val="9"/>
        <w:numPr>
          <w:ilvl w:val="0"/>
          <w:numId w:val="12"/>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Untuk penatausahaan, akuntansi, dan pertanggungjawaban atas pelaksanaan anggaran, KPA Penyaluran DAK Fisik dan Dana Desa menyusun laporan keuangan tingkat KPA dan menyampaikan kepada Pemimpin PPA BUN Pengelolaan TKDD melalui Koordinator KPA Penyaluran DAK Fisik dan Dana Desa, dengan ketentuan sebagai berikut:  </w:t>
      </w:r>
    </w:p>
    <w:p>
      <w:pPr>
        <w:pStyle w:val="9"/>
        <w:numPr>
          <w:ilvl w:val="0"/>
          <w:numId w:val="13"/>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laporan keuangan tingkat KPA Penyaluran DAK Fisik dan Dana Desa periode semesteran dan tahunan disusun setelah dilakukan rekonsiliasi data realisasi anggaran transfer dengan KPPN selaku Kuasa BUN dengan berpedoman pada ketentuan peraturan perundang-undangan mengenai pedoman rekonsiliasi dalam rangka penyusunan laporan keuangan; dan </w:t>
      </w:r>
    </w:p>
    <w:p>
      <w:pPr>
        <w:pStyle w:val="9"/>
        <w:numPr>
          <w:ilvl w:val="0"/>
          <w:numId w:val="13"/>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laporan keuangan tingkat KPA Penyaluran DAK Fisik dan Dana Desa periode semesteran dan tahunan disampaikan secara berjenjang kepada PPA BUN Pengelolaan TKDD melalui Koordinator KPA Penyaluran DAK Fisik dan Dana Desa sesuai dengan jadwal penyampaian laporan keuangan sebagaimana diatur dalam Peraturan Menteri Keuangan mengenai tata cara penyusunan dan penyampaian laporan keuangan BUN. </w:t>
      </w:r>
    </w:p>
    <w:p>
      <w:pPr>
        <w:pStyle w:val="9"/>
        <w:numPr>
          <w:ilvl w:val="0"/>
          <w:numId w:val="12"/>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Ketentuan lebih lanjut mengenai penyusunan dan penyampaian laporan keuangan tingkat KPA Penyaluran DAK Fisik dan Dana Desa periode semesteran dan tahunan sebagaimana dimaksud pada ayat (4) diatur dengan Peraturan Direktur Jenderal Perbendaharaan. </w:t>
      </w:r>
    </w:p>
    <w:p>
      <w:pPr>
        <w:pStyle w:val="9"/>
        <w:numPr>
          <w:ilvl w:val="0"/>
          <w:numId w:val="12"/>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Dalam rangka penyusunan Laporan Keuangan TKDD sebagaimana dimaksud pada ayat (1), Koordinator KPA Penyaluran DAK Fisik dan Dana Desa menyusun dan menyampaikan laporan keuangan tingkat Koordinator KPA Penyaluran DAK Fisik dan Dana Desa dengan ketentuan sebagai berikut:  </w:t>
      </w:r>
    </w:p>
    <w:p>
      <w:pPr>
        <w:pStyle w:val="9"/>
        <w:numPr>
          <w:ilvl w:val="0"/>
          <w:numId w:val="14"/>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laporan keuangan tingkat Koordinator KPA Penyaluran DAK Fisik dan Dana Desa periode semesteran dan tahunan disusun setelah dilakukan penyampaian data elektronik akrual transaksi DAK Fisik dan Dana Desa selain transaksi realisasi anggaran transfer ke dalam sistem aplikasi terintegrasi;</w:t>
      </w:r>
    </w:p>
    <w:p>
      <w:pPr>
        <w:pStyle w:val="9"/>
        <w:numPr>
          <w:ilvl w:val="0"/>
          <w:numId w:val="14"/>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laporan keuangan tingkat Koordinator KPA Penyaluran DAK Fisik dan Dana Desa periode semesteran dan tahunan disampaikan kepada PPA BUN Pengelolaan TKDD sesuai dengan jadwal penyampaian laporan keuangan yang diatur dalam Peraturan Direktur Jenderal Perbendaharaan dengan memperhatikan Peraturan Menteri Keuangan mengenai tata cara penyusunan dan penyampaian laporan keuangan BUN. </w:t>
      </w:r>
    </w:p>
    <w:p>
      <w:pPr>
        <w:pStyle w:val="9"/>
        <w:numPr>
          <w:ilvl w:val="0"/>
          <w:numId w:val="12"/>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Ketentuan lebih lanjut mengenai penyampaian data elektronik akrual transaksi DAK Fisik dan Dana Desa selain transaksi realisasi anggaran transfer dan penyusunan dan penyampaian laporan keuangan tingkat Koordinator KPA Penyaluran DAK Fisik dan Dana Desa periode semesteran dan tahunan sebagaimana dimaksud pada ayat (6) diatur dengan Peraturan Direktur Jenderal Perbendaharaan. </w:t>
      </w:r>
    </w:p>
    <w:p>
      <w:pPr>
        <w:spacing w:after="0" w:line="360" w:lineRule="auto"/>
        <w:rPr>
          <w:rFonts w:ascii="Times New Roman" w:hAnsi="Times New Roman" w:cs="Times New Roman"/>
          <w:sz w:val="24"/>
          <w:szCs w:val="24"/>
        </w:rPr>
      </w:pPr>
      <w:r>
        <w:rPr>
          <w:rFonts w:ascii="Times New Roman" w:hAnsi="Times New Roman" w:cs="Times New Roman"/>
          <w:sz w:val="24"/>
          <w:szCs w:val="24"/>
        </w:rPr>
        <w:t>Dalam Pasal 28 kemudian dikatakan, bahwa :</w:t>
      </w:r>
    </w:p>
    <w:p>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Untuk sinkronisasi penyajian laporan realisasi anggaran TKDD, Direktorat Jenderal Perimbangan Keuangan dan Koordinator KPA Penyaluran DAK Fisik dan Dana Desa dapat melakukan rekonsiliasi data realisasi atas penyaluran Dana Desa dengan KPA Penyaluran DAK Fisik dan Dana Desa dan Pemerintah Daerah.  </w:t>
      </w:r>
    </w:p>
    <w:p>
      <w:pPr>
        <w:spacing w:after="0" w:line="360" w:lineRule="auto"/>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Terkait dengan Pelaporan oleh Kepala Desa dan Bupati/Wali kota, dalam Pasal 29 disebutkan, bahwa :</w:t>
      </w:r>
    </w:p>
    <w:p>
      <w:pPr>
        <w:pStyle w:val="9"/>
        <w:numPr>
          <w:ilvl w:val="0"/>
          <w:numId w:val="15"/>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Kepala Desa menyampaikan laporan realisasi penyerapan dan capaian output Dana Desa setiap tahap penyaluran kepada bupati/wali kota.  </w:t>
      </w:r>
    </w:p>
    <w:p>
      <w:pPr>
        <w:pStyle w:val="9"/>
        <w:numPr>
          <w:ilvl w:val="0"/>
          <w:numId w:val="15"/>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Laporan realisasi penyerapan dan capaian output Dana Desa sebagaimana dimaksud pada ayat (1) terdiri atas: </w:t>
      </w:r>
    </w:p>
    <w:p>
      <w:pPr>
        <w:pStyle w:val="9"/>
        <w:numPr>
          <w:ilvl w:val="0"/>
          <w:numId w:val="16"/>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laporan realisasi penyerapan Dana Desa dan capaian output tahun anggaran sebelumnya;  </w:t>
      </w:r>
    </w:p>
    <w:p>
      <w:pPr>
        <w:pStyle w:val="9"/>
        <w:numPr>
          <w:ilvl w:val="0"/>
          <w:numId w:val="16"/>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laporan konvergensi pencegahan stunting tingkat Desa tahun anggaran sebelumnya; dan  </w:t>
      </w:r>
    </w:p>
    <w:p>
      <w:pPr>
        <w:pStyle w:val="9"/>
        <w:numPr>
          <w:ilvl w:val="0"/>
          <w:numId w:val="16"/>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laporan realisasi penyerapan Dana Desa dan capaian output sampai dengan tahap II.  </w:t>
      </w:r>
    </w:p>
    <w:p>
      <w:pPr>
        <w:pStyle w:val="9"/>
        <w:numPr>
          <w:ilvl w:val="0"/>
          <w:numId w:val="15"/>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Laporan realisasi penyerapan dan capaian output Dana Desa tahun anggaran sebelumnya sebagaimana dimaksud pada ayat (2) huruf a disampaikan paling lambat tanggal 7 Februari tahun anggaran berjalan.  </w:t>
      </w:r>
    </w:p>
    <w:p>
      <w:pPr>
        <w:pStyle w:val="9"/>
        <w:numPr>
          <w:ilvl w:val="0"/>
          <w:numId w:val="15"/>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Laporan realisasi penyerapan dan capaian output Dana Desa sampai dengan tahap II sebagaimana dimaksud pada ayat (2) huruf c disampaikan paling lambat tanggal 7 Juni tahun anggaran berjalan. </w:t>
      </w:r>
    </w:p>
    <w:p>
      <w:pPr>
        <w:pStyle w:val="9"/>
        <w:numPr>
          <w:ilvl w:val="0"/>
          <w:numId w:val="15"/>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Dalam hal terdapat pemutakhiran capaian output setelah batas waktu penyampaian laporan sebagaimana dimaksud pada ayat (3) dan ayat (4), Kepala Desa dapat menyampaikannya pemutakhiran capaian output kepada bupati/wali kota untuk selanjutnya dilakukan pemutakhiran data pada aplikasi. </w:t>
      </w:r>
    </w:p>
    <w:p>
      <w:pPr>
        <w:pStyle w:val="9"/>
        <w:numPr>
          <w:ilvl w:val="0"/>
          <w:numId w:val="15"/>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Bupati/wali kota dapat mendorong proses percepatan penyampaian laporan realisasi penyerapan Dana Desa sebagaimana dimaksud pada ayat (2) dengan berkoordinasi dengan Kepala Desa. </w:t>
      </w:r>
    </w:p>
    <w:p>
      <w:pPr>
        <w:spacing w:after="0" w:line="360" w:lineRule="auto"/>
        <w:rPr>
          <w:rFonts w:ascii="Times New Roman" w:hAnsi="Times New Roman" w:cs="Times New Roman"/>
          <w:sz w:val="24"/>
          <w:szCs w:val="24"/>
        </w:rPr>
      </w:pPr>
      <w:r>
        <w:rPr>
          <w:rFonts w:ascii="Times New Roman" w:hAnsi="Times New Roman" w:cs="Times New Roman"/>
          <w:sz w:val="24"/>
          <w:szCs w:val="24"/>
        </w:rPr>
        <w:t>Dalam Pasal 30 kemudian dikatakan, bahwa :</w:t>
      </w:r>
    </w:p>
    <w:p>
      <w:pPr>
        <w:pStyle w:val="9"/>
        <w:numPr>
          <w:ilvl w:val="0"/>
          <w:numId w:val="17"/>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Bupati/wali kota menyampaikan laporan realisasi penyaluran dan laporan konsolidasi realisasi penyerapan dan capaian output Dana Desa kepada Kepala KPPN selaku KPA Penyaluran DAK Fisik dan Dana Desa dengan tembusan kepada Gubernur, Menteri Dalam Negeri, dan menteri yang menyelenggarakan urusan pemerintahan di bidang Desa. </w:t>
      </w:r>
    </w:p>
    <w:p>
      <w:pPr>
        <w:pStyle w:val="9"/>
        <w:numPr>
          <w:ilvl w:val="0"/>
          <w:numId w:val="17"/>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Laporan realisasi penyaluran dan laporan konsolidasi realisasi penyerapan dan capaian output Dana Desa sebagaimana dimaksud pada ayat (1) terdiri atas:  </w:t>
      </w:r>
    </w:p>
    <w:p>
      <w:pPr>
        <w:pStyle w:val="9"/>
        <w:numPr>
          <w:ilvl w:val="0"/>
          <w:numId w:val="18"/>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laporan realisasi penyaluran dan laporan konsolidasi realisasi penyerapan dan capaian output Dana Desa tahun anggaran sebelumnya;  </w:t>
      </w:r>
    </w:p>
    <w:p>
      <w:pPr>
        <w:pStyle w:val="9"/>
        <w:numPr>
          <w:ilvl w:val="0"/>
          <w:numId w:val="18"/>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laporan konvergensi pencegahan stunting tingkat kabupaten/kota tahun anggaran sebelumnya; dan  </w:t>
      </w:r>
    </w:p>
    <w:p>
      <w:pPr>
        <w:pStyle w:val="9"/>
        <w:numPr>
          <w:ilvl w:val="0"/>
          <w:numId w:val="18"/>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laporan realisasi penyaluran dan laporan konsolidasi realisasi penyerapan dan capaian output Dana Desa sampai dengan tahap II.  </w:t>
      </w:r>
    </w:p>
    <w:p>
      <w:pPr>
        <w:pStyle w:val="9"/>
        <w:numPr>
          <w:ilvl w:val="0"/>
          <w:numId w:val="17"/>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Laporan konsolidasi realisasi penyerapan dan capaian output Dana Desa sebagaimana dimaksud pada ayat (2) huruf a disampaikan paling lambat tanggal 14 Februari tahun anggaran berjalan. </w:t>
      </w:r>
    </w:p>
    <w:p>
      <w:pPr>
        <w:pStyle w:val="9"/>
        <w:numPr>
          <w:ilvl w:val="0"/>
          <w:numId w:val="17"/>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Laporan konsolidasi realisasi penyerapan dan capaian output Dana Desa sebagaimana dimaksud pada ayat (2) huruf c disampaikan paling lambat tanggal 14 Juni tahun anggaran berjalan. </w:t>
      </w:r>
    </w:p>
    <w:p>
      <w:pPr>
        <w:pStyle w:val="9"/>
        <w:numPr>
          <w:ilvl w:val="0"/>
          <w:numId w:val="17"/>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Dalam hal terdapat perbaikan laporan setelah batas waktu penyampaian laporan sebagaimana dimaksud pada ayat (3) dan ayat (4), Kepala KPPN selaku KPA Penyaluran DAK Fisik dan Dana Desa dapat meminta bupati/wali kota untuk melakukan percepatan penyampaian perbaikan laporan dimaksud untuk selanjutnya dilakukan pemutakhiran data pada aplikasi.</w:t>
      </w:r>
    </w:p>
    <w:p>
      <w:pPr>
        <w:spacing w:after="0" w:line="360" w:lineRule="auto"/>
        <w:rPr>
          <w:rFonts w:ascii="Times New Roman" w:hAnsi="Times New Roman" w:cs="Times New Roman"/>
          <w:sz w:val="24"/>
          <w:szCs w:val="24"/>
        </w:rPr>
      </w:pPr>
      <w:r>
        <w:rPr>
          <w:rFonts w:ascii="Times New Roman" w:hAnsi="Times New Roman" w:cs="Times New Roman"/>
          <w:sz w:val="24"/>
          <w:szCs w:val="24"/>
        </w:rPr>
        <w:t>Tentang penggunaan Dana Desa, di dalam Pasal 31 disebutkan, bahwa :</w:t>
      </w:r>
    </w:p>
    <w:p>
      <w:pPr>
        <w:pStyle w:val="9"/>
        <w:numPr>
          <w:ilvl w:val="0"/>
          <w:numId w:val="19"/>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Penggunaan Dana Desa diprioritaskan untuk membiayai pembangunan dan pemberdayaan masyarakat ditujukan untuk meningkatkan kesejahteraan masyarakat desa, peningkatan kualitas hidup manusia serta penanggulangan kemiskinan dan dituangkan dalam rencana kerja Pemerintah Desa.  </w:t>
      </w:r>
    </w:p>
    <w:p>
      <w:pPr>
        <w:pStyle w:val="9"/>
        <w:numPr>
          <w:ilvl w:val="0"/>
          <w:numId w:val="19"/>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Penggunaan Dana Desa sebagaimana dimaksud pada ayat (1) mengacu pada prioritas penggunaan Dana Desa yang ditetapkan oleh menteri yang menyelenggarakan urusan pemerintahan di bidang Desa.  </w:t>
      </w:r>
    </w:p>
    <w:p>
      <w:pPr>
        <w:spacing w:after="0" w:line="360" w:lineRule="auto"/>
        <w:rPr>
          <w:rFonts w:ascii="Times New Roman" w:hAnsi="Times New Roman" w:cs="Times New Roman"/>
          <w:sz w:val="24"/>
          <w:szCs w:val="24"/>
        </w:rPr>
      </w:pPr>
      <w:r>
        <w:rPr>
          <w:rFonts w:ascii="Times New Roman" w:hAnsi="Times New Roman" w:cs="Times New Roman"/>
          <w:sz w:val="24"/>
          <w:szCs w:val="24"/>
        </w:rPr>
        <w:t>Di dalam Pasal 32 juga disebutkan, bahwa :</w:t>
      </w:r>
    </w:p>
    <w:p>
      <w:pPr>
        <w:pStyle w:val="9"/>
        <w:numPr>
          <w:ilvl w:val="0"/>
          <w:numId w:val="20"/>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Pelaksanaan kegiatan yang dibiayai dari Dana Desa berpedoman pada pedoman teknis yang ditetapkan oleh bupati/wali kota mengenai kegiatan yang dibiayai dari Dana Desa.  </w:t>
      </w:r>
    </w:p>
    <w:p>
      <w:pPr>
        <w:pStyle w:val="9"/>
        <w:numPr>
          <w:ilvl w:val="0"/>
          <w:numId w:val="20"/>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Pelaksanaan kegiatan yang dibiayai dari Dana Desa diutamakan dilakukan secara swakelola dengan menggunakan sumber daya/bahan baku lokal dan diupayakan dengan lebih banyak menyerap tenaga kerja dari masyarakat Desa setempat. </w:t>
      </w:r>
    </w:p>
    <w:p>
      <w:pPr>
        <w:spacing w:after="0" w:line="360" w:lineRule="auto"/>
        <w:rPr>
          <w:rFonts w:ascii="Times New Roman" w:hAnsi="Times New Roman" w:cs="Times New Roman"/>
          <w:sz w:val="24"/>
          <w:szCs w:val="24"/>
        </w:rPr>
      </w:pPr>
      <w:r>
        <w:rPr>
          <w:rFonts w:ascii="Times New Roman" w:hAnsi="Times New Roman" w:cs="Times New Roman"/>
          <w:sz w:val="24"/>
          <w:szCs w:val="24"/>
        </w:rPr>
        <w:t>Selanjutnya dalam Pasal 33 dikatakan, bahwa :</w:t>
      </w:r>
    </w:p>
    <w:p>
      <w:pPr>
        <w:pStyle w:val="9"/>
        <w:numPr>
          <w:ilvl w:val="0"/>
          <w:numId w:val="21"/>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Dana Desa dapat digunakan untuk membiayai kegiatan yang tidak termasuk dalam prioritas penggunaan Dana Desa sebagaimana dimaksud dalam Pasal 31 ayat (2) setelah mendapat persetujuan bupati/wali kota.  </w:t>
      </w:r>
    </w:p>
    <w:p>
      <w:pPr>
        <w:pStyle w:val="9"/>
        <w:numPr>
          <w:ilvl w:val="0"/>
          <w:numId w:val="21"/>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Dalam memberikan persetujuan sebagaimana dimaksud pada ayat (1), bupati/wali kota memastikan pengalokasian Dana Desa untuk kegiatan yang menjadi prioritas telah terpenuhi dan/atau kegiatan pembangunan dan pemberdayaan masyarakat telah terpenuhi. </w:t>
      </w:r>
    </w:p>
    <w:p>
      <w:pPr>
        <w:pStyle w:val="9"/>
        <w:numPr>
          <w:ilvl w:val="0"/>
          <w:numId w:val="21"/>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Persetujuan bupati/wali kota sebagaimana dimaksud pada ayat (1) diberikan pada saat evaluasi rancangan Peraturan Desa mengenai APBDesa. </w:t>
      </w:r>
    </w:p>
    <w:p>
      <w:pPr>
        <w:spacing w:after="0" w:line="360" w:lineRule="auto"/>
        <w:rPr>
          <w:rFonts w:ascii="Times New Roman" w:hAnsi="Times New Roman" w:cs="Times New Roman"/>
          <w:sz w:val="24"/>
          <w:szCs w:val="24"/>
        </w:rPr>
      </w:pPr>
      <w:r>
        <w:rPr>
          <w:rFonts w:ascii="Times New Roman" w:hAnsi="Times New Roman" w:cs="Times New Roman"/>
          <w:sz w:val="24"/>
          <w:szCs w:val="24"/>
        </w:rPr>
        <w:t>Di dalam Pasal 34 kemudian dikatakan, bahwa :</w:t>
      </w:r>
    </w:p>
    <w:p>
      <w:pPr>
        <w:pStyle w:val="9"/>
        <w:numPr>
          <w:ilvl w:val="0"/>
          <w:numId w:val="22"/>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Kepala Desa bertanggungjawab atas penggunaan Dana Desa. </w:t>
      </w:r>
    </w:p>
    <w:p>
      <w:pPr>
        <w:pStyle w:val="9"/>
        <w:numPr>
          <w:ilvl w:val="0"/>
          <w:numId w:val="22"/>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Pemerintah dan Pemerintah Daerah dapat melakukan pendampingan atas penggunaan Dana Desa. </w:t>
      </w:r>
    </w:p>
    <w:p>
      <w:pPr>
        <w:pStyle w:val="9"/>
        <w:numPr>
          <w:ilvl w:val="0"/>
          <w:numId w:val="22"/>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Tata cara pendampingan sebagaimana dimaksud pada ayat (2) dilaksanakan sesuai dengan pedoman yang ditetapkan oleh menteri teknis terkait. </w:t>
      </w:r>
    </w:p>
    <w:p>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Tentang Pemantauan dan Evaluasi penggunaan dana desa dalam Pasal 35 disebutkan, bahwa : </w:t>
      </w:r>
    </w:p>
    <w:p>
      <w:pPr>
        <w:pStyle w:val="9"/>
        <w:numPr>
          <w:ilvl w:val="0"/>
          <w:numId w:val="23"/>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Kementerian Keuangan c.q. Direktorat Jenderal Perimbangan Keuangan dan/atau KPPN bersama dengan Kementerian Dalam Negeri, kementerian yang menyelenggarakan urusan pemerintahan di bidang Desa melakukan pemantauan atas pengalokasian, penyaluran, dan penggunaan Dana Desa secara sendiri-sendiri atau bersama-sama.  </w:t>
      </w:r>
    </w:p>
    <w:p>
      <w:pPr>
        <w:pStyle w:val="9"/>
        <w:numPr>
          <w:ilvl w:val="0"/>
          <w:numId w:val="23"/>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Pemantauan sebagaimana dimaksud pada ayat (1) dilakukan terhadap: </w:t>
      </w:r>
    </w:p>
    <w:p>
      <w:pPr>
        <w:pStyle w:val="9"/>
        <w:numPr>
          <w:ilvl w:val="0"/>
          <w:numId w:val="24"/>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penerbitan peraturan bupati/wali kota mengenai tata cara pembagian dan penetapan rincian Dana Desa setiap Desa; </w:t>
      </w:r>
    </w:p>
    <w:p>
      <w:pPr>
        <w:pStyle w:val="9"/>
        <w:numPr>
          <w:ilvl w:val="0"/>
          <w:numId w:val="24"/>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penyaluran Dana Desa dari RKUD ke RKD;  </w:t>
      </w:r>
    </w:p>
    <w:p>
      <w:pPr>
        <w:pStyle w:val="9"/>
        <w:numPr>
          <w:ilvl w:val="0"/>
          <w:numId w:val="24"/>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penyampaian laporan realisasi penyaluran dan laporan konsolidasi penyerapan Dana Desa;  </w:t>
      </w:r>
    </w:p>
    <w:p>
      <w:pPr>
        <w:pStyle w:val="9"/>
        <w:numPr>
          <w:ilvl w:val="0"/>
          <w:numId w:val="24"/>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penyampaian laporan konvergensi pencegahan stunting tingkat kabupaten/kota;</w:t>
      </w:r>
    </w:p>
    <w:p>
      <w:pPr>
        <w:pStyle w:val="9"/>
        <w:numPr>
          <w:ilvl w:val="0"/>
          <w:numId w:val="24"/>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sisa Dana Desa di RKUD; dan </w:t>
      </w:r>
    </w:p>
    <w:p>
      <w:pPr>
        <w:pStyle w:val="9"/>
        <w:numPr>
          <w:ilvl w:val="0"/>
          <w:numId w:val="24"/>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pencapaian output Dana Desa. </w:t>
      </w:r>
    </w:p>
    <w:p>
      <w:pPr>
        <w:spacing w:after="0" w:line="360" w:lineRule="auto"/>
        <w:rPr>
          <w:rFonts w:ascii="Times New Roman" w:hAnsi="Times New Roman" w:cs="Times New Roman"/>
          <w:sz w:val="24"/>
          <w:szCs w:val="24"/>
        </w:rPr>
      </w:pPr>
      <w:r>
        <w:rPr>
          <w:rFonts w:ascii="Times New Roman" w:hAnsi="Times New Roman" w:cs="Times New Roman"/>
          <w:sz w:val="24"/>
          <w:szCs w:val="24"/>
        </w:rPr>
        <w:t>Dalam Pasal 36 juga disebutkan, bahwa :</w:t>
      </w:r>
    </w:p>
    <w:p>
      <w:pPr>
        <w:pStyle w:val="9"/>
        <w:numPr>
          <w:ilvl w:val="0"/>
          <w:numId w:val="25"/>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Pemantauan terhadap penerbitan peraturan bupati/wali kota mengenai tata cara pembagian dan penetapan rincian Dana Desa setiap Desa sebagaimana dimaksud dalam Pasal 35 ayat (2) huruf a dilakukan untuk menghindari penundaan penyaluran Dana Desa untuk tahap I. </w:t>
      </w:r>
    </w:p>
    <w:p>
      <w:pPr>
        <w:pStyle w:val="9"/>
        <w:numPr>
          <w:ilvl w:val="0"/>
          <w:numId w:val="25"/>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Dalam hal terdapat keterlambatan penetapan peraturan bupati/wali kota sebagaimana dimaksud pada ayat (1), Kepala KPPN selaku KPA Penyaluran DAK Fisik dan Dana Desa meminta bupati/wali kota untuk melakukan percepatan penetapan peraturan bupati/wali kota mengenai tata cara pembagian dan penetapan rincian Dana Desa setiap Desa. </w:t>
      </w:r>
    </w:p>
    <w:p>
      <w:pPr>
        <w:pStyle w:val="9"/>
        <w:numPr>
          <w:ilvl w:val="0"/>
          <w:numId w:val="25"/>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Kepala KPPN selaku KPA Penyalµran DAK Fisik dan Dana Desa dapat berkoordinasi dengan bupati/wali kota dalam rangka percepatan penetapan peraturan bupati/wali kota mengenai tata cara pembagian dan penetapan rincian Dana Desa setiap Desa sebagaimana dimaksud pada ayat (2). </w:t>
      </w:r>
    </w:p>
    <w:p>
      <w:pPr>
        <w:spacing w:after="0" w:line="360" w:lineRule="auto"/>
        <w:rPr>
          <w:rFonts w:ascii="Times New Roman" w:hAnsi="Times New Roman" w:cs="Times New Roman"/>
          <w:sz w:val="24"/>
          <w:szCs w:val="24"/>
        </w:rPr>
      </w:pPr>
      <w:r>
        <w:rPr>
          <w:rFonts w:ascii="Times New Roman" w:hAnsi="Times New Roman" w:cs="Times New Roman"/>
          <w:sz w:val="24"/>
          <w:szCs w:val="24"/>
        </w:rPr>
        <w:t>Kemudian di dalam Pasal 37 disebutkan, bahwa :</w:t>
      </w:r>
    </w:p>
    <w:p>
      <w:pPr>
        <w:pStyle w:val="9"/>
        <w:numPr>
          <w:ilvl w:val="0"/>
          <w:numId w:val="26"/>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Pemantauan terhadap penyaluran Dana Desa dari RKUD ke RKD sebagaimana dimaksud dalam Pasal 35 ayat (2) huruf b dilaksanakan untuk memastikan penyaluran telah dilakukan sesuai dengan ketentuan peraturan perundang-undangan. </w:t>
      </w:r>
    </w:p>
    <w:p>
      <w:pPr>
        <w:pStyle w:val="9"/>
        <w:numPr>
          <w:ilvl w:val="0"/>
          <w:numId w:val="26"/>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Dalam hal berdasarkan hasil pemantauan sebagaimana dimaksud pada ayat (1) terdapat penyaluran Dana Desa dari RKUD ke RKD tidak sesuai dengan ketentuan peraturan perundang-undangan, Kepala KPPN selaku KPA Penyaluran DAK Fisik dan Dana Desa dapat memberikan teguran kepada bupati/wali kota. </w:t>
      </w:r>
    </w:p>
    <w:p>
      <w:pPr>
        <w:pStyle w:val="9"/>
        <w:numPr>
          <w:ilvl w:val="0"/>
          <w:numId w:val="26"/>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Ketidaksesuaian penyaluran sebagaimana dimaksud pada ayat (2), dapat berupa: </w:t>
      </w:r>
    </w:p>
    <w:p>
      <w:pPr>
        <w:pStyle w:val="9"/>
        <w:numPr>
          <w:ilvl w:val="0"/>
          <w:numId w:val="27"/>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keterlambatan penyaluran; dan/atau  </w:t>
      </w:r>
    </w:p>
    <w:p>
      <w:pPr>
        <w:pStyle w:val="9"/>
        <w:numPr>
          <w:ilvl w:val="0"/>
          <w:numId w:val="27"/>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tidak tepat jumlah penyaluran.  </w:t>
      </w:r>
    </w:p>
    <w:p>
      <w:pPr>
        <w:pStyle w:val="9"/>
        <w:numPr>
          <w:ilvl w:val="0"/>
          <w:numId w:val="26"/>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Dana Desa yang terlambat disalurkan dan/atau tidak tepat jumlah penyalurannya sebagaimana dimaksud pada ayat (3) harus segera disalurkan ke RKD oleh bupati/wali kota paling lama 7 (tujuh) hari kerja setelah menerima teguran sebagaimana dimaksud pada ayat (2). </w:t>
      </w:r>
    </w:p>
    <w:p>
      <w:pPr>
        <w:spacing w:after="0" w:line="360" w:lineRule="auto"/>
        <w:rPr>
          <w:rFonts w:ascii="Times New Roman" w:hAnsi="Times New Roman" w:cs="Times New Roman"/>
          <w:sz w:val="24"/>
          <w:szCs w:val="24"/>
        </w:rPr>
      </w:pPr>
      <w:r>
        <w:rPr>
          <w:rFonts w:ascii="Times New Roman" w:hAnsi="Times New Roman" w:cs="Times New Roman"/>
          <w:sz w:val="24"/>
          <w:szCs w:val="24"/>
        </w:rPr>
        <w:t>Di dalam Pasal 38 juga dikatakan, bahwa:</w:t>
      </w:r>
    </w:p>
    <w:p>
      <w:pPr>
        <w:pStyle w:val="9"/>
        <w:numPr>
          <w:ilvl w:val="0"/>
          <w:numId w:val="28"/>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Pemantauan terhadap penyampaian laporan realisasi penyaluran dan laporan konsolidasi realisasi penyerapan Dana Desa dan laporan konvergensi pencegahan stunting sebagaimana dimaksud dalam Pasal 35 ayat (2) huruf c dan huruf d dilakukan untuk menghindari penundaan penyaluran Dana Desa tahun anggaran berikutnya.</w:t>
      </w:r>
    </w:p>
    <w:p>
      <w:pPr>
        <w:pStyle w:val="9"/>
        <w:numPr>
          <w:ilvl w:val="0"/>
          <w:numId w:val="28"/>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Dalam hal bupati/wali kota terlambat dan/atau tidak menyampaikan laporan sebagaimana dimaksud pada ayat (1), Kepala KPPN selaku KPA Penyaluran DAK Fisik dan Dana Desa dapat meminta kepada bupati/wali kota untuk melakukan percepatan penyampaian laporan sebagaimana dimaksud pada ayat (1).  </w:t>
      </w:r>
    </w:p>
    <w:p>
      <w:pPr>
        <w:pStyle w:val="9"/>
        <w:numPr>
          <w:ilvl w:val="0"/>
          <w:numId w:val="28"/>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Kepala KPPN selaku KPA Penyaluran DAK Fisik dan Dana Desa dapat berkoordinasi dengan bupati/wali kota untuk proses percepatan penyampaian laporan sebagaimana dimaksud pada ayat (1). </w:t>
      </w:r>
    </w:p>
    <w:p>
      <w:pPr>
        <w:spacing w:after="0" w:line="360" w:lineRule="auto"/>
        <w:rPr>
          <w:rFonts w:ascii="Times New Roman" w:hAnsi="Times New Roman" w:cs="Times New Roman"/>
          <w:sz w:val="24"/>
          <w:szCs w:val="24"/>
        </w:rPr>
      </w:pPr>
      <w:r>
        <w:rPr>
          <w:rFonts w:ascii="Times New Roman" w:hAnsi="Times New Roman" w:cs="Times New Roman"/>
          <w:sz w:val="24"/>
          <w:szCs w:val="24"/>
        </w:rPr>
        <w:t>Selanjutnya dalam Pasal 39 dikatakan, bahwa :</w:t>
      </w:r>
    </w:p>
    <w:p>
      <w:pPr>
        <w:pStyle w:val="9"/>
        <w:numPr>
          <w:ilvl w:val="0"/>
          <w:numId w:val="29"/>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Pemantauan sisa Dana Desa di RKUD sebagaimana dimaksud dalam Pasal 35 ayat (2) huruf e dilakukan untuk mengetahui besaran Dana Desa yang belum disalurkan dari RKUD ke RKD tahun anggaran sebelumnya. </w:t>
      </w:r>
    </w:p>
    <w:p>
      <w:pPr>
        <w:pStyle w:val="9"/>
        <w:numPr>
          <w:ilvl w:val="0"/>
          <w:numId w:val="29"/>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Dalam hal sisa Dana Desa di RKUD sebagaimana dimaksud pada ayat (1) terjadi karena bupati/wali kota belum menerima laporan realisasi penyerapan Dana Desa sampai dengan tahap II sebagaimana dimaksud dalam Pasal 29 ayat (2) huruf c, Kepala KPPN selaku KPA Penyaluran DAK Fisik dan Dana Desa meminta kepada bupati/wali kota untuk memfasilitasi percepatan penyampaian laporan realisasi penyerapan Dana Desa sampai dengan tahap II.  </w:t>
      </w:r>
    </w:p>
    <w:p>
      <w:pPr>
        <w:pStyle w:val="9"/>
        <w:numPr>
          <w:ilvl w:val="0"/>
          <w:numId w:val="29"/>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Dalam hal sisa Dana Desa di RKUD sebagaimana dimaksud pada ayat (1) terjadi karena perbedaan jumlah Desa, bupati/wali kota menyampaikan pemberitahuan kelebihan salur Dana Desa dari RKUN ke RKUD kepada Kepala KPPN selaku KPA Penyaluran DAK Fisik dan Dana Desa dengan tembusan kepada Direktur Jenderal Perimbangan Keuangan. </w:t>
      </w:r>
    </w:p>
    <w:p>
      <w:pPr>
        <w:spacing w:after="0" w:line="360" w:lineRule="auto"/>
        <w:jc w:val="both"/>
        <w:rPr>
          <w:rFonts w:ascii="Times New Roman" w:hAnsi="Times New Roman" w:cs="Times New Roman"/>
          <w:sz w:val="24"/>
          <w:szCs w:val="24"/>
        </w:rPr>
      </w:pPr>
      <w:r>
        <w:rPr>
          <w:rFonts w:ascii="Times New Roman" w:hAnsi="Times New Roman" w:cs="Times New Roman"/>
          <w:sz w:val="24"/>
          <w:szCs w:val="24"/>
        </w:rPr>
        <w:t>Di dalam Pasal 40 kemudian disebut:</w:t>
      </w:r>
    </w:p>
    <w:p>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Pemantauan capaian output sebagaimana dimaksud dalam Pasal 35 ayat (2) huruf f dilakukan untuk mengetahui capaian perkembangan kegiatan yang dibiayai Dana Desa. </w:t>
      </w:r>
    </w:p>
    <w:p>
      <w:pPr>
        <w:spacing w:after="0" w:line="360" w:lineRule="auto"/>
        <w:rPr>
          <w:rFonts w:ascii="Times New Roman" w:hAnsi="Times New Roman" w:cs="Times New Roman"/>
          <w:sz w:val="24"/>
          <w:szCs w:val="24"/>
        </w:rPr>
      </w:pPr>
      <w:r>
        <w:rPr>
          <w:rFonts w:ascii="Times New Roman" w:hAnsi="Times New Roman" w:cs="Times New Roman"/>
          <w:sz w:val="24"/>
          <w:szCs w:val="24"/>
        </w:rPr>
        <w:t>Pasal 41 menyebutkan, bahwa:</w:t>
      </w:r>
    </w:p>
    <w:p>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Kepala KPPN selaku KPA Penyaluran DAK Fisik dan Dana Desa melakukan evaluasi, terhadap:  </w:t>
      </w:r>
    </w:p>
    <w:p>
      <w:pPr>
        <w:pStyle w:val="9"/>
        <w:numPr>
          <w:ilvl w:val="0"/>
          <w:numId w:val="30"/>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penghitungan pembagian dan penetapan rincian Dana Desa setiap Desa oleh kabupaten/kota; dan  </w:t>
      </w:r>
    </w:p>
    <w:p>
      <w:pPr>
        <w:pStyle w:val="9"/>
        <w:numPr>
          <w:ilvl w:val="0"/>
          <w:numId w:val="30"/>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laporan realisasi penyaluran dan laporan konsolidasi realisasi penyerapan dan capaian output Dana Desa. </w:t>
      </w:r>
    </w:p>
    <w:p>
      <w:pPr>
        <w:spacing w:after="0" w:line="360" w:lineRule="auto"/>
        <w:rPr>
          <w:rFonts w:ascii="Times New Roman" w:hAnsi="Times New Roman" w:cs="Times New Roman"/>
          <w:sz w:val="24"/>
          <w:szCs w:val="24"/>
        </w:rPr>
      </w:pPr>
      <w:r>
        <w:rPr>
          <w:rFonts w:ascii="Times New Roman" w:hAnsi="Times New Roman" w:cs="Times New Roman"/>
          <w:sz w:val="24"/>
          <w:szCs w:val="24"/>
        </w:rPr>
        <w:t>Di dalam Pasal 42 disebutkan, bahwa :</w:t>
      </w:r>
    </w:p>
    <w:p>
      <w:pPr>
        <w:pStyle w:val="9"/>
        <w:numPr>
          <w:ilvl w:val="0"/>
          <w:numId w:val="31"/>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Evaluasi terhadap penghitungan pembagian dan penetapan rincian Dana Desa setiap Desa oleh kabupaten/kota sebagaimana dimaksud dalam Pasal 41 huruf a dilakukan untuk memastikan pembagian Dana Desa setiap Desa dilakukan sesuai dengan ketentuan peraturan perundang-undangan. </w:t>
      </w:r>
    </w:p>
    <w:p>
      <w:pPr>
        <w:pStyle w:val="9"/>
        <w:numPr>
          <w:ilvl w:val="0"/>
          <w:numId w:val="31"/>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Dalam hal terdapat ketidaksesuaian penghitungan pembagian dan penetapan rincian Dana Desa setiap Desa oleh kabupaten/kota sebagaimana dimaksud pada ayat (1), Kepala KPPN selaku KPA Penyaluran DAK Fisik dan Dana Desa meminta bupati/wali kota untuk melakukan perubahan peraturan bupati/wali kota mengenai tata cara pembagian dan penetapan rincian Dana Desa setiap Desa.  </w:t>
      </w:r>
    </w:p>
    <w:p>
      <w:pPr>
        <w:pStyle w:val="9"/>
        <w:numPr>
          <w:ilvl w:val="0"/>
          <w:numId w:val="31"/>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Perubahan peraturan bupati/wali kota sebagaimana dimaksud pada ayat (2) disampaikan kepada Kepala KPPN selaku KPA Penyaluran DAK Fisik dan Dana Desa.  </w:t>
      </w:r>
    </w:p>
    <w:p>
      <w:pPr>
        <w:pStyle w:val="9"/>
        <w:numPr>
          <w:ilvl w:val="0"/>
          <w:numId w:val="31"/>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Penyampaian perubahan peraturan bupati/wali kota sebagaimana dimaksud pada ayat (3) menjadi persyaratan penyaluran Dana Desa tahap III. </w:t>
      </w:r>
    </w:p>
    <w:p>
      <w:pPr>
        <w:spacing w:after="0" w:line="360" w:lineRule="auto"/>
        <w:rPr>
          <w:rFonts w:ascii="Times New Roman" w:hAnsi="Times New Roman" w:cs="Times New Roman"/>
          <w:sz w:val="24"/>
          <w:szCs w:val="24"/>
        </w:rPr>
      </w:pPr>
      <w:r>
        <w:rPr>
          <w:rFonts w:ascii="Times New Roman" w:hAnsi="Times New Roman" w:cs="Times New Roman"/>
          <w:sz w:val="24"/>
          <w:szCs w:val="24"/>
        </w:rPr>
        <w:t>Pasal 43 mengatakan, bahwa :</w:t>
      </w:r>
    </w:p>
    <w:p>
      <w:pPr>
        <w:pStyle w:val="9"/>
        <w:numPr>
          <w:ilvl w:val="0"/>
          <w:numId w:val="32"/>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Evaluasi terhadap laporan realisasi penyaluran dan laporan konsolidasi realisasi penyerapan dan capaian output Dana Desa sebagaimana dimaksud dalam Pasal 41 huruf b dilakukan untuk mengetahui besaran realisasi penyaluran, penyerapan dan capaian output Dana Desa.  </w:t>
      </w:r>
    </w:p>
    <w:p>
      <w:pPr>
        <w:pStyle w:val="9"/>
        <w:numPr>
          <w:ilvl w:val="0"/>
          <w:numId w:val="32"/>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Dalam hal realisasi penyaluran Dana Desa kurang dari 75% (tujuh puluh lima persen) sebagaimana dimaksud dalam Pasal 21 ayat (5) dan realisasi penyerapan Dana Desa kurang dari 75% (tujuh puluh lima persen) serta capaian output kurang dari 50% (lima puluh persen) sebagaimana dimaksud dalam Pasal 21 ayat (6), Kepala KPPN selaku KPA Penyaluran DAK Fisik dan Dana Desa dapat meminta konfirmasi dan klarifikasi kepada bupati/wali kota. </w:t>
      </w:r>
    </w:p>
    <w:p>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Sesuai Pasal 44, Bupati/wali kota melakukan pemantauan dan evaluasi atas: </w:t>
      </w:r>
    </w:p>
    <w:p>
      <w:pPr>
        <w:pStyle w:val="9"/>
        <w:numPr>
          <w:ilvl w:val="0"/>
          <w:numId w:val="33"/>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sisa Dana Desa di RKD; dan/atau </w:t>
      </w:r>
    </w:p>
    <w:p>
      <w:pPr>
        <w:pStyle w:val="9"/>
        <w:numPr>
          <w:ilvl w:val="0"/>
          <w:numId w:val="33"/>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capaian output Dana Desa. </w:t>
      </w:r>
    </w:p>
    <w:p>
      <w:pPr>
        <w:spacing w:after="0" w:line="360" w:lineRule="auto"/>
        <w:rPr>
          <w:rFonts w:ascii="Times New Roman" w:hAnsi="Times New Roman" w:cs="Times New Roman"/>
          <w:sz w:val="24"/>
          <w:szCs w:val="24"/>
        </w:rPr>
      </w:pPr>
      <w:r>
        <w:rPr>
          <w:rFonts w:ascii="Times New Roman" w:hAnsi="Times New Roman" w:cs="Times New Roman"/>
          <w:sz w:val="24"/>
          <w:szCs w:val="24"/>
        </w:rPr>
        <w:t>Kemudian di dalam Pasal 45 disebutkan, bahwa:</w:t>
      </w:r>
    </w:p>
    <w:p>
      <w:pPr>
        <w:pStyle w:val="9"/>
        <w:numPr>
          <w:ilvl w:val="0"/>
          <w:numId w:val="34"/>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Dalam hal berdasarkan pemantauan dan evaluasi atas sisa Dana Desa di RKD sebagaimana dimaksud dalam Pasal 44 huruf a ditemukan sisa Dana Desa di RKD lebih dari 30% (tiga puluh persen), bupati/wali kota:  </w:t>
      </w:r>
    </w:p>
    <w:p>
      <w:pPr>
        <w:pStyle w:val="9"/>
        <w:numPr>
          <w:ilvl w:val="0"/>
          <w:numId w:val="35"/>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meminta penjelasan kepada Kepala Desa mengenai sisa Dana Desa di RKD tersebut; dan/atau </w:t>
      </w:r>
    </w:p>
    <w:p>
      <w:pPr>
        <w:pStyle w:val="9"/>
        <w:numPr>
          <w:ilvl w:val="0"/>
          <w:numId w:val="35"/>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meminta aparat pengawas fungsional daerah untuk melakukan pemeriksaan.  </w:t>
      </w:r>
    </w:p>
    <w:p>
      <w:pPr>
        <w:pStyle w:val="9"/>
        <w:numPr>
          <w:ilvl w:val="0"/>
          <w:numId w:val="34"/>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Sisa Dana Desa di RKD lebih dari 30% (tiga puluh persen) sebagaimana dimaksud pada ayat (1) dihitung dari Dana Desa yang diterima Desa pada tahun anggaran berkenaan ditambah dengan sisa Dana Desa tahun anggaran sebelumnya.  </w:t>
      </w:r>
    </w:p>
    <w:p>
      <w:pPr>
        <w:pStyle w:val="9"/>
        <w:numPr>
          <w:ilvl w:val="0"/>
          <w:numId w:val="34"/>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Kepala Desa wajib menganggarkan kembali sisa Dana Desa sebagaimana dimaksud pada ayat (2) dalam rancangan APBDesa tahun anggaran berikutnya sesuai dengan ketentuan peraturan perundang-undangan. </w:t>
      </w:r>
    </w:p>
    <w:p>
      <w:pPr>
        <w:pStyle w:val="9"/>
        <w:numPr>
          <w:ilvl w:val="0"/>
          <w:numId w:val="34"/>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Pemantauan dan evaluasi atas capaian output Dana Desa sebagaimana dimaksud dalam Pasal 44 huruf b, dapat dilakukan oleh aparat pengawas fungsional daerah atas permintaan bupati/wali kota. </w:t>
      </w:r>
    </w:p>
    <w:p>
      <w:pPr>
        <w:spacing w:after="0" w:line="360" w:lineRule="auto"/>
        <w:rPr>
          <w:rFonts w:ascii="Times New Roman" w:hAnsi="Times New Roman" w:cs="Times New Roman"/>
          <w:sz w:val="24"/>
          <w:szCs w:val="24"/>
        </w:rPr>
      </w:pPr>
      <w:r>
        <w:rPr>
          <w:rFonts w:ascii="Times New Roman" w:hAnsi="Times New Roman" w:cs="Times New Roman"/>
          <w:sz w:val="24"/>
          <w:szCs w:val="24"/>
        </w:rPr>
        <w:t>Menurut Pasal 46 :</w:t>
      </w:r>
    </w:p>
    <w:p>
      <w:pPr>
        <w:pStyle w:val="9"/>
        <w:numPr>
          <w:ilvl w:val="0"/>
          <w:numId w:val="36"/>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Bupati/wali kota menunda penyaluran Dana Desa, dalam hal: </w:t>
      </w:r>
    </w:p>
    <w:p>
      <w:pPr>
        <w:pStyle w:val="9"/>
        <w:numPr>
          <w:ilvl w:val="1"/>
          <w:numId w:val="37"/>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bupati/wali kota belum menerima dokumen persyaratan penyaluran sebagaimana dimaksud dalam Pasal 24 ayat (2) dan ayat (3); </w:t>
      </w:r>
    </w:p>
    <w:p>
      <w:pPr>
        <w:pStyle w:val="9"/>
        <w:numPr>
          <w:ilvl w:val="1"/>
          <w:numId w:val="37"/>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terdapat sisa Dana Desa di RKD tahun anggaran sebelumnya lebih dari 30% (tiga puluh persen) sebagaimana dimaksud dalam Pasal 45; dan/atau </w:t>
      </w:r>
    </w:p>
    <w:p>
      <w:pPr>
        <w:pStyle w:val="9"/>
        <w:numPr>
          <w:ilvl w:val="1"/>
          <w:numId w:val="37"/>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terdapat rekomendasi penundaan yang disampaikan oleh aparat pengawas fungsional di daerah. </w:t>
      </w:r>
    </w:p>
    <w:p>
      <w:pPr>
        <w:pStyle w:val="9"/>
        <w:numPr>
          <w:ilvl w:val="0"/>
          <w:numId w:val="36"/>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Penundaan penyaluran Dana Desa sebagaimana dimaksud pada ayat (1) huruf b dilakukan terhadap penyaluran Dana Desa tahap II tahun anggaran berjalan sebesar sisa Dana Desa di RKD tahun anggaran sebelumnya. </w:t>
      </w:r>
    </w:p>
    <w:p>
      <w:pPr>
        <w:pStyle w:val="9"/>
        <w:numPr>
          <w:ilvl w:val="0"/>
          <w:numId w:val="36"/>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Dalam hal sisa Dana Desa di RKD tahun anggaran sebelumnya lebih besar dari jumlah Dana Desa yang akan disalurkan pada tahap II sebagaimana dimaksud pada ayat (2), penyaluran Dana Desa tahap II tidak dilakukan. </w:t>
      </w:r>
    </w:p>
    <w:p>
      <w:pPr>
        <w:pStyle w:val="9"/>
        <w:numPr>
          <w:ilvl w:val="0"/>
          <w:numId w:val="36"/>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Dalam hal sampai dengan minggu kedua bulan Juni tahun anggaran berjalan sisa Dana Desa di RKD tahun anggaran sebelumnya masih lebih besar dari 30% (tiga puluh persen), penyaluran Dana Desa yang ditunda sebagaimana dimaksud pada ayat (2) tidak dapat disalurkan dan menjadi sisa Dana Desa di RKUD. </w:t>
      </w:r>
    </w:p>
    <w:p>
      <w:pPr>
        <w:pStyle w:val="9"/>
        <w:numPr>
          <w:ilvl w:val="0"/>
          <w:numId w:val="36"/>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Bupati/wali kota melaporkan Dana Desa yang tidak disalurkan sebagaimana dimaksud pada ayat (4) kepada Kepala KPPN selaku KPA Penyaluran DAK Fisik dan Dana Desa. </w:t>
      </w:r>
    </w:p>
    <w:p>
      <w:pPr>
        <w:pStyle w:val="9"/>
        <w:numPr>
          <w:ilvl w:val="0"/>
          <w:numId w:val="36"/>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Dana Desa yang tidak disalurkan sebagaimana dimaksud pada ayat (4) tidak dapat disalurkan kembali pada tahun anggaran berikutnya. </w:t>
      </w:r>
    </w:p>
    <w:p>
      <w:pPr>
        <w:pStyle w:val="9"/>
        <w:numPr>
          <w:ilvl w:val="0"/>
          <w:numId w:val="36"/>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Bagi pemerintah Daerah yang memiliki predikat kinerja baik dalam penyaluran Dana Desa sebagaimana dimaksud dalam Pasal 20 dikecualikan dari penundaan penyaluran Dana Desa sebagaimana dimaksud pada ayat (1) huruf b. </w:t>
      </w:r>
    </w:p>
    <w:p>
      <w:pPr>
        <w:pStyle w:val="9"/>
        <w:numPr>
          <w:ilvl w:val="0"/>
          <w:numId w:val="36"/>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Rekomendasi sebagaimana dimaksud pada ayat (1) huruf c disampaikan oleh aparat pengawas fungsional di daerah dalam hal terdapat potensi atau telah terjadi penyimpangan penyaluran dan/atau penggunaan Dana Desa. </w:t>
      </w:r>
    </w:p>
    <w:p>
      <w:pPr>
        <w:pStyle w:val="9"/>
        <w:numPr>
          <w:ilvl w:val="0"/>
          <w:numId w:val="36"/>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Rekomendasi sebagaimana dimaksud pada ayat (8) disampaikan kepada bupati/wali kota dengan tembusan kepada Kepala KPPN selaku KPA Penyaluran DAK Fisik dan Dana Desa sebelum batas waktu tahapan penyaluran sebagaimana dimaksud dalam Pasal 20. </w:t>
      </w:r>
    </w:p>
    <w:p>
      <w:pPr>
        <w:spacing w:after="0" w:line="360" w:lineRule="auto"/>
        <w:ind w:left="419"/>
        <w:rPr>
          <w:rFonts w:ascii="Times New Roman" w:hAnsi="Times New Roman" w:cs="Times New Roman"/>
          <w:sz w:val="24"/>
          <w:szCs w:val="24"/>
        </w:rPr>
      </w:pPr>
      <w:r>
        <w:rPr>
          <w:rFonts w:ascii="Times New Roman" w:hAnsi="Times New Roman" w:cs="Times New Roman"/>
          <w:sz w:val="24"/>
          <w:szCs w:val="24"/>
        </w:rPr>
        <w:t>Kemudian dalam Pasal 47 disebutkan, bahwa:</w:t>
      </w:r>
    </w:p>
    <w:p>
      <w:pPr>
        <w:pStyle w:val="9"/>
        <w:numPr>
          <w:ilvl w:val="0"/>
          <w:numId w:val="38"/>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Bupati/wali kota menyalurkan kembali Dana Desa yang ditunda sebagaimana dimaksud dalam Pasal 46, dalam hal: </w:t>
      </w:r>
    </w:p>
    <w:p>
      <w:pPr>
        <w:pStyle w:val="9"/>
        <w:numPr>
          <w:ilvl w:val="0"/>
          <w:numId w:val="39"/>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dokumen persyaratan sebagaimana dimaksud dalam Pasal 46 ayat (1) huruf a telah diterima;  </w:t>
      </w:r>
    </w:p>
    <w:p>
      <w:pPr>
        <w:pStyle w:val="9"/>
        <w:numPr>
          <w:ilvl w:val="0"/>
          <w:numId w:val="39"/>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sisa Dana Desa di RKD tahun anggaran sebelumnya kurang dari atau sama dengan 30% (tiga puluh persen); dan/atau </w:t>
      </w:r>
    </w:p>
    <w:p>
      <w:pPr>
        <w:pStyle w:val="9"/>
        <w:numPr>
          <w:ilvl w:val="0"/>
          <w:numId w:val="39"/>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terdapat usulan pencabutan rekomendasi penundaan dari aparat pengawas fungsional daerah. </w:t>
      </w:r>
    </w:p>
    <w:p>
      <w:pPr>
        <w:pStyle w:val="9"/>
        <w:numPr>
          <w:ilvl w:val="0"/>
          <w:numId w:val="38"/>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Dalam hal dokumen persyaratan sebagaimana dimaksud pada ayat (1) huruf a tidak diterima dan tidak terdapat usulan pencabutan rekomendasi penundaan sebagaimana dimaksud pada ayat (1) huruf c sampai dengan berakhirnya tahun anggaran, penundaan penyaluran Dana Desa sebagaimana dimaksud dalam Pasal 46 ayat (1) huruf a dan huruf c tidak dapat disalurkan ke RKD dan menjadi Sisa Dana Desa di RKUD.</w:t>
      </w:r>
    </w:p>
    <w:p>
      <w:pPr>
        <w:pStyle w:val="9"/>
        <w:numPr>
          <w:ilvl w:val="0"/>
          <w:numId w:val="38"/>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Bupati/wali kota melaporkan Sisa Dana Desa di RKUD sebagaimana dimaksud pada ayat (2) kepada Kepala KPPN selaku KPA Penyaluran DAK Fisik dan Dana Desa paling lambat akhir bulan Februari tahun anggaran berjalan. </w:t>
      </w:r>
    </w:p>
    <w:p>
      <w:pPr>
        <w:pStyle w:val="9"/>
        <w:numPr>
          <w:ilvl w:val="0"/>
          <w:numId w:val="38"/>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Bupati/wali kota memberitahukan Dana Desa yang tidak dapat disalurkan ke RKD sebagaimana dimaksud pada ayat (2) kepada kepala Desa untuk dianggarkan kembali dalam rancangan APBDesa tahun anggaran berikutnya paling lambat akhir bulan Desember tahun anggaran berjalan. </w:t>
      </w:r>
    </w:p>
    <w:p>
      <w:pPr>
        <w:pStyle w:val="9"/>
        <w:numPr>
          <w:ilvl w:val="0"/>
          <w:numId w:val="38"/>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Bupati/wali kota menganggarkan kembali Sisa Dana Desa di RKUD sebagaimana dimaksud pada ayat (2) dalam rancangan APBD tahun anggaran berikutnya sesuai dengan ketentuan peraturan perundangundangan. </w:t>
      </w:r>
    </w:p>
    <w:p>
      <w:pPr>
        <w:pStyle w:val="9"/>
        <w:numPr>
          <w:ilvl w:val="0"/>
          <w:numId w:val="38"/>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Dalam hal sisa Dana Desa di RKUD sebagaimana dimaksud pada ayat (2) belum disalurkan dari RKUD ke RKD sampai dengan akhir bulan Februari tahun anggaran berjalan, sisa Dana Desa tersebut diperhitungkan sebagai pengurang dalam penyaluran Dana Desa tahap II dari RKUN ke RKUD tahun anggaran berjalan.</w:t>
      </w:r>
    </w:p>
    <w:p>
      <w:pPr>
        <w:pStyle w:val="9"/>
        <w:numPr>
          <w:ilvl w:val="0"/>
          <w:numId w:val="38"/>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Bagi pemerintah Daerah yang memiliki predikat kinerja baik dalam penyaluran Dana Desa sebagaimana dimaksud dalam Pasal 20 dikecualikan dari ketentuan sebagaimana dimaksud pada ayat (6). </w:t>
      </w:r>
    </w:p>
    <w:p>
      <w:pPr>
        <w:pStyle w:val="9"/>
        <w:numPr>
          <w:ilvl w:val="0"/>
          <w:numId w:val="38"/>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Dalam hal Desa telah memenuhi persyaratan penyaluran kembali sebagaimana dimaksud pada ayat (1) huruf a dan huruf b sebelum minggu kedua bulan Juni tahun anggaran berjalan, bupati/wali kota menyampaikan permintaan penyaluran kembali Dana Desa tahap II yang diperhitungkan sebagaimana dimaksud pada ayat (6) kepada Kepala KPPN selaku KPA Penyaluran DAK fisik dan Dana Desa paling lambat minggu ketiga bulan Juni tahun anggaran berjalan. </w:t>
      </w:r>
    </w:p>
    <w:p>
      <w:pPr>
        <w:pStyle w:val="9"/>
        <w:numPr>
          <w:ilvl w:val="0"/>
          <w:numId w:val="38"/>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Berdasarkan permintaan penyaluran kembali sebagaimana dimaksud pada ayat (8), Kepala KPPN selaku KPA Penyaluran DAK Fisik dan Dana Desa menyalurkan kembali Dana Desa tahap II yang diperhitungkan sebagaimana dimaksud pada ayat (6) paling lambat bulan Juni tahun anggaran berjalan. </w:t>
      </w:r>
    </w:p>
    <w:p>
      <w:pPr>
        <w:pStyle w:val="9"/>
        <w:numPr>
          <w:ilvl w:val="0"/>
          <w:numId w:val="38"/>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Dalam hal bupati/wali kota tidak menyampaikan permintaan penyaluran kembali sebagaimana dimaksud pada ayat (8), Dana Desa tahap II yang diperhitungkan sebagaimana dimaksud pada ayat (6) tidak dapat disalurkan kembali dan menjadi Sisa Anggaran Lebih pada RKUN. </w:t>
      </w:r>
    </w:p>
    <w:p>
      <w:pPr>
        <w:spacing w:after="0" w:line="360" w:lineRule="auto"/>
        <w:rPr>
          <w:rFonts w:ascii="Times New Roman" w:hAnsi="Times New Roman" w:cs="Times New Roman"/>
          <w:sz w:val="24"/>
          <w:szCs w:val="24"/>
        </w:rPr>
      </w:pPr>
      <w:r>
        <w:rPr>
          <w:rFonts w:ascii="Times New Roman" w:hAnsi="Times New Roman" w:cs="Times New Roman"/>
          <w:sz w:val="24"/>
          <w:szCs w:val="24"/>
        </w:rPr>
        <w:t>Menurut Pasal 48, bahwa :</w:t>
      </w:r>
    </w:p>
    <w:p>
      <w:pPr>
        <w:pStyle w:val="9"/>
        <w:numPr>
          <w:ilvl w:val="0"/>
          <w:numId w:val="40"/>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Bupati/wali kota melakukan pemotongan penyaluran Dana Desa dalam hal setelah dikenakan sanksi penundaan penyaluran Dana Desa sebagaimana dimaksud dalam Pasal 46 ayat (1) huruf b, masih terdapat sisa Dana Desa di RKD lebih dari 30% (tiga puluh persen) sampai dengan akhir minggu kedua bulan Juni.  </w:t>
      </w:r>
    </w:p>
    <w:p>
      <w:pPr>
        <w:pStyle w:val="9"/>
        <w:numPr>
          <w:ilvl w:val="0"/>
          <w:numId w:val="40"/>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Bagi pemerintah Daerah yang memiliki predikat kinerja baik dalam penyaluran Dana Desa sebagaimana dimaksud dalam Pasal 20, bupati/wali kota melakukan pemotongan penyaluran Dana Desa sebagaimana dimaksud pada ayat (1) pada saat penyaluran Dana Desa tahap III. </w:t>
      </w:r>
    </w:p>
    <w:p>
      <w:pPr>
        <w:pStyle w:val="9"/>
        <w:numPr>
          <w:ilvl w:val="0"/>
          <w:numId w:val="40"/>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Bupati/wali kota melaporkan pemotongan penyaluran Dana Desa sebagaimana dimaksud pada ayat (1) dan ayat (2) kepada Kepala KPPN selaku KPA Penyaluran DAK Fisik dan Dana Desa. </w:t>
      </w:r>
    </w:p>
    <w:p>
      <w:pPr>
        <w:spacing w:after="0" w:line="360" w:lineRule="auto"/>
        <w:rPr>
          <w:rFonts w:ascii="Times New Roman" w:hAnsi="Times New Roman" w:cs="Times New Roman"/>
          <w:sz w:val="24"/>
          <w:szCs w:val="24"/>
        </w:rPr>
      </w:pPr>
      <w:r>
        <w:rPr>
          <w:rFonts w:ascii="Times New Roman" w:hAnsi="Times New Roman" w:cs="Times New Roman"/>
          <w:sz w:val="24"/>
          <w:szCs w:val="24"/>
        </w:rPr>
        <w:t>Pasal 49 mengatakan, bahwa :</w:t>
      </w:r>
    </w:p>
    <w:p>
      <w:pPr>
        <w:pStyle w:val="9"/>
        <w:numPr>
          <w:ilvl w:val="0"/>
          <w:numId w:val="41"/>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Kepala KPPN selaku KPA Penyaluran DAK Fisik dan Dana Desa melakukan pemotongan penyaluran Dana Desa dalam hal terdapat:  </w:t>
      </w:r>
    </w:p>
    <w:p>
      <w:pPr>
        <w:pStyle w:val="9"/>
        <w:numPr>
          <w:ilvl w:val="0"/>
          <w:numId w:val="42"/>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pemberitahuan perbedaan jumlah desa dari bupati/wali kota sebagaimana dimaksud dalam Pasal 39 ayat (3);  </w:t>
      </w:r>
    </w:p>
    <w:p>
      <w:pPr>
        <w:pStyle w:val="9"/>
        <w:numPr>
          <w:ilvl w:val="0"/>
          <w:numId w:val="42"/>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laporan penundaan penyaluran Dana Desa dari bupati/wali kota sebagaimana dimaksud dalam Pasal 46 ayat (5) dan Pasal 47 ayat (3); dan/atau </w:t>
      </w:r>
    </w:p>
    <w:p>
      <w:pPr>
        <w:pStyle w:val="9"/>
        <w:numPr>
          <w:ilvl w:val="0"/>
          <w:numId w:val="42"/>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laporan pemotongan penyaluran Dana Desa dari bupati/wali kota sebagaimana dimaksud dalam Pasal 48 ayat (3).  </w:t>
      </w:r>
    </w:p>
    <w:p>
      <w:pPr>
        <w:pStyle w:val="9"/>
        <w:numPr>
          <w:ilvl w:val="0"/>
          <w:numId w:val="41"/>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Pemotongan sebagaimana dimaksud pada ayat (1) huruf a dilakukan sebesar Alokasi Dasar setiap Desa dikali selisih jumlah Desa pada tahun anggaran berjalan.  </w:t>
      </w:r>
    </w:p>
    <w:p>
      <w:pPr>
        <w:spacing w:after="0" w:line="360" w:lineRule="auto"/>
        <w:jc w:val="both"/>
        <w:rPr>
          <w:rFonts w:ascii="Times New Roman" w:hAnsi="Times New Roman" w:cs="Times New Roman"/>
          <w:sz w:val="24"/>
          <w:szCs w:val="24"/>
        </w:rPr>
      </w:pPr>
      <w:r>
        <w:rPr>
          <w:rFonts w:ascii="Times New Roman" w:hAnsi="Times New Roman" w:cs="Times New Roman"/>
          <w:sz w:val="24"/>
          <w:szCs w:val="24"/>
        </w:rPr>
        <w:t>Beberapa ketentuan hukum di atas, adalah merupakan panduan dalam penggunaan Dana Desa agar sesuai dengan peruntukannya.</w:t>
      </w:r>
    </w:p>
    <w:p>
      <w:pPr>
        <w:spacing w:after="0" w:line="360" w:lineRule="auto"/>
        <w:jc w:val="both"/>
        <w:rPr>
          <w:rFonts w:ascii="Times New Roman" w:hAnsi="Times New Roman" w:cs="Times New Roman"/>
          <w:b/>
          <w:bCs/>
          <w:sz w:val="24"/>
          <w:szCs w:val="24"/>
        </w:rPr>
      </w:pPr>
    </w:p>
    <w:p>
      <w:pPr>
        <w:rPr>
          <w:rFonts w:ascii="Times New Roman" w:hAnsi="Times New Roman" w:cs="Times New Roman"/>
          <w:b/>
          <w:bCs/>
          <w:sz w:val="24"/>
          <w:szCs w:val="24"/>
        </w:rPr>
      </w:pPr>
      <w:r>
        <w:rPr>
          <w:rFonts w:ascii="Times New Roman" w:hAnsi="Times New Roman" w:cs="Times New Roman"/>
          <w:b/>
          <w:bCs/>
          <w:sz w:val="24"/>
          <w:szCs w:val="24"/>
        </w:rPr>
        <w:br w:type="page"/>
      </w:r>
    </w:p>
    <w:p>
      <w:pPr>
        <w:spacing w:after="0" w:line="360" w:lineRule="auto"/>
        <w:jc w:val="both"/>
        <w:rPr>
          <w:rFonts w:ascii="Times New Roman" w:hAnsi="Times New Roman" w:cs="Times New Roman"/>
          <w:b/>
          <w:bCs/>
          <w:sz w:val="24"/>
          <w:szCs w:val="24"/>
        </w:rPr>
      </w:pPr>
      <w:r>
        <w:rPr>
          <w:rFonts w:ascii="Times New Roman" w:hAnsi="Times New Roman" w:cs="Times New Roman"/>
          <w:b/>
          <w:bCs/>
          <w:sz w:val="24"/>
          <w:szCs w:val="24"/>
        </w:rPr>
        <w:t>Penutup</w:t>
      </w:r>
    </w:p>
    <w:p>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 xml:space="preserve">Bantuan Dana Desa adalah sebuah tindakan nyata dari pemerintah untuk membangun pedesaan agar hidupnya bahagia. Penggunaan Dana Desa itu harus tepat guna dan dapat dipetanggungjawabkan dan tidak dipergunakan untuk kepentingan pribadi. Apabila Dana Desa tidak digunakan sesuai peruntukannya, penggunannya akan mendapat hukuman sesuai peraturan perundang-undangan yang berlaku. </w:t>
      </w:r>
    </w:p>
    <w:p>
      <w:pPr>
        <w:rPr>
          <w:rFonts w:ascii="Times New Roman" w:hAnsi="Times New Roman" w:cs="Times New Roman"/>
          <w:sz w:val="24"/>
          <w:szCs w:val="24"/>
        </w:rPr>
      </w:pPr>
      <w:r>
        <w:rPr>
          <w:rFonts w:ascii="Times New Roman" w:hAnsi="Times New Roman" w:cs="Times New Roman"/>
          <w:sz w:val="24"/>
          <w:szCs w:val="24"/>
        </w:rPr>
        <w:br w:type="page"/>
      </w:r>
    </w:p>
    <w:p>
      <w:pPr>
        <w:spacing w:after="0" w:line="360" w:lineRule="auto"/>
        <w:jc w:val="center"/>
        <w:rPr>
          <w:rFonts w:ascii="Times New Roman" w:hAnsi="Times New Roman" w:cs="Times New Roman"/>
          <w:b/>
          <w:bCs/>
          <w:sz w:val="24"/>
          <w:szCs w:val="24"/>
        </w:rPr>
      </w:pPr>
      <w:r>
        <w:rPr>
          <w:rFonts w:ascii="Times New Roman" w:hAnsi="Times New Roman" w:cs="Times New Roman"/>
          <w:b/>
          <w:bCs/>
          <w:sz w:val="24"/>
          <w:szCs w:val="24"/>
        </w:rPr>
        <w:t xml:space="preserve">DAFTAR PUSTAKA </w:t>
      </w:r>
    </w:p>
    <w:p>
      <w:pPr>
        <w:pStyle w:val="3"/>
        <w:spacing w:after="120"/>
        <w:ind w:left="851" w:hanging="851"/>
        <w:jc w:val="both"/>
        <w:rPr>
          <w:rFonts w:ascii="Times New Roman" w:hAnsi="Times New Roman" w:cs="Times New Roman"/>
          <w:sz w:val="24"/>
          <w:szCs w:val="24"/>
          <w:lang w:val="en-US"/>
        </w:rPr>
      </w:pPr>
      <w:r>
        <w:rPr>
          <w:rFonts w:ascii="Times New Roman" w:hAnsi="Times New Roman" w:cs="Times New Roman"/>
          <w:sz w:val="24"/>
          <w:szCs w:val="24"/>
        </w:rPr>
        <w:t xml:space="preserve">Ash-shidiqq, Ellectrananda Anugerah dan Hendrawan Wibisono. “Akuntabilitas Pengelolaan Dana Desa sebagai Upaya Pencegahan Korupsi Pengelolaan Dana Desa.” </w:t>
      </w:r>
      <w:r>
        <w:rPr>
          <w:rFonts w:ascii="Times New Roman" w:hAnsi="Times New Roman" w:cs="Times New Roman"/>
          <w:i/>
          <w:iCs/>
          <w:sz w:val="24"/>
          <w:szCs w:val="24"/>
        </w:rPr>
        <w:t xml:space="preserve">Jurnal Seminar Nasional Hukum Universitas Negeri Semarang Vol. 4 No. 1 </w:t>
      </w:r>
      <w:r>
        <w:rPr>
          <w:rFonts w:ascii="Times New Roman" w:hAnsi="Times New Roman" w:cs="Times New Roman"/>
          <w:sz w:val="24"/>
          <w:szCs w:val="24"/>
        </w:rPr>
        <w:t>(2018).</w:t>
      </w:r>
    </w:p>
    <w:p>
      <w:pPr>
        <w:pStyle w:val="3"/>
        <w:spacing w:after="120"/>
        <w:ind w:left="851" w:hanging="851"/>
        <w:jc w:val="both"/>
        <w:rPr>
          <w:rFonts w:ascii="Times New Roman" w:hAnsi="Times New Roman" w:cs="Times New Roman"/>
          <w:sz w:val="24"/>
          <w:szCs w:val="24"/>
          <w:lang w:val="en-US"/>
        </w:rPr>
      </w:pPr>
      <w:r>
        <w:rPr>
          <w:rFonts w:ascii="Times New Roman" w:hAnsi="Times New Roman" w:cs="Times New Roman"/>
          <w:sz w:val="24"/>
          <w:szCs w:val="24"/>
        </w:rPr>
        <w:t xml:space="preserve">Aziz, Nyimas Latifah Letty. “Otonomi Desa dan Efektivitas Dana Desa.” </w:t>
      </w:r>
      <w:r>
        <w:rPr>
          <w:rFonts w:ascii="Times New Roman" w:hAnsi="Times New Roman" w:cs="Times New Roman"/>
          <w:i/>
          <w:iCs/>
          <w:sz w:val="24"/>
          <w:szCs w:val="24"/>
        </w:rPr>
        <w:t xml:space="preserve">Jurnal Penelitian Politik, Vol. 13 No. 2 </w:t>
      </w:r>
      <w:r>
        <w:rPr>
          <w:rFonts w:ascii="Times New Roman" w:hAnsi="Times New Roman" w:cs="Times New Roman"/>
          <w:sz w:val="24"/>
          <w:szCs w:val="24"/>
        </w:rPr>
        <w:t>(Desember 2016).</w:t>
      </w:r>
    </w:p>
    <w:p>
      <w:pPr>
        <w:pStyle w:val="3"/>
        <w:spacing w:after="120"/>
        <w:ind w:left="851" w:hanging="851"/>
        <w:jc w:val="both"/>
        <w:rPr>
          <w:rFonts w:ascii="Times New Roman" w:hAnsi="Times New Roman" w:cs="Times New Roman"/>
          <w:sz w:val="24"/>
          <w:szCs w:val="24"/>
          <w:lang w:val="en-US"/>
        </w:rPr>
      </w:pPr>
      <w:r>
        <w:rPr>
          <w:rFonts w:ascii="Times New Roman" w:hAnsi="Times New Roman" w:cs="Times New Roman"/>
          <w:sz w:val="24"/>
          <w:szCs w:val="24"/>
        </w:rPr>
        <w:t xml:space="preserve">Ihsanudini. “ICW: Ada 181 Kasus Korupsi Dana Desa, Rugikan Negara Rp. 40, 6 Miliar.” nasional.kompas.com/read/2018/11/21/19000481/icw-ada-181-kasus-korupsi-dana-desa-rugikan-negara-rp-406-miliar?page=all. Diakses 18 September 2019. </w:t>
      </w:r>
    </w:p>
    <w:p>
      <w:pPr>
        <w:pStyle w:val="3"/>
        <w:spacing w:after="120"/>
        <w:ind w:left="851" w:hanging="851"/>
        <w:jc w:val="both"/>
        <w:rPr>
          <w:rFonts w:ascii="Times New Roman" w:hAnsi="Times New Roman" w:cs="Times New Roman"/>
          <w:sz w:val="24"/>
          <w:szCs w:val="24"/>
          <w:lang w:val="en-US"/>
        </w:rPr>
      </w:pPr>
      <w:r>
        <w:rPr>
          <w:rFonts w:ascii="Times New Roman" w:hAnsi="Times New Roman" w:cs="Times New Roman"/>
          <w:sz w:val="24"/>
          <w:szCs w:val="24"/>
        </w:rPr>
        <w:t xml:space="preserve">Indonesia. </w:t>
      </w:r>
      <w:r>
        <w:rPr>
          <w:rFonts w:ascii="Times New Roman" w:hAnsi="Times New Roman" w:cs="Times New Roman"/>
          <w:sz w:val="24"/>
          <w:szCs w:val="24"/>
          <w:lang w:val="en-US"/>
        </w:rPr>
        <w:t xml:space="preserve">Lampiran Peraturan Menteri Keuangan Nomor 226/PMK.07/2017 tentang </w:t>
      </w:r>
      <w:r>
        <w:rPr>
          <w:rFonts w:ascii="Times New Roman" w:hAnsi="Times New Roman" w:cs="Times New Roman"/>
          <w:i/>
          <w:iCs/>
          <w:sz w:val="24"/>
          <w:szCs w:val="24"/>
          <w:lang w:val="en-US"/>
        </w:rPr>
        <w:t>Perubahan Rincian Dana Desa Menurut Daerah Kabupaten/Kota</w:t>
      </w:r>
      <w:r>
        <w:rPr>
          <w:rFonts w:ascii="Times New Roman" w:hAnsi="Times New Roman" w:cs="Times New Roman"/>
          <w:sz w:val="24"/>
          <w:szCs w:val="24"/>
          <w:lang w:val="en-US"/>
        </w:rPr>
        <w:t>.</w:t>
      </w:r>
    </w:p>
    <w:p>
      <w:pPr>
        <w:pStyle w:val="3"/>
        <w:spacing w:after="120"/>
        <w:ind w:left="851" w:hanging="851"/>
        <w:jc w:val="both"/>
        <w:rPr>
          <w:rFonts w:ascii="Times New Roman" w:hAnsi="Times New Roman" w:cs="Times New Roman"/>
          <w:sz w:val="24"/>
          <w:szCs w:val="24"/>
          <w:lang w:val="en-US"/>
        </w:rPr>
      </w:pPr>
      <w:r>
        <w:rPr>
          <w:rFonts w:ascii="Times New Roman" w:hAnsi="Times New Roman" w:cs="Times New Roman"/>
          <w:sz w:val="24"/>
          <w:szCs w:val="24"/>
        </w:rPr>
        <w:t xml:space="preserve">Indonesia. Peraturan Menteri Dalam Negeri Republik Indonesia Nomor 20 Tahun 2018 </w:t>
      </w:r>
      <w:r>
        <w:rPr>
          <w:rFonts w:ascii="Times New Roman" w:hAnsi="Times New Roman" w:cs="Times New Roman"/>
          <w:i/>
          <w:iCs/>
          <w:sz w:val="24"/>
          <w:szCs w:val="24"/>
        </w:rPr>
        <w:t>tentang</w:t>
      </w:r>
      <w:r>
        <w:rPr>
          <w:rFonts w:ascii="Times New Roman" w:hAnsi="Times New Roman" w:cs="Times New Roman"/>
          <w:sz w:val="24"/>
          <w:szCs w:val="24"/>
        </w:rPr>
        <w:t xml:space="preserve"> </w:t>
      </w:r>
      <w:r>
        <w:rPr>
          <w:rFonts w:ascii="Times New Roman" w:hAnsi="Times New Roman" w:cs="Times New Roman"/>
          <w:i/>
          <w:iCs/>
          <w:sz w:val="24"/>
          <w:szCs w:val="24"/>
        </w:rPr>
        <w:t>Pengelolaan Keuangan Desa</w:t>
      </w:r>
      <w:r>
        <w:rPr>
          <w:rFonts w:ascii="Times New Roman" w:hAnsi="Times New Roman" w:cs="Times New Roman"/>
          <w:sz w:val="24"/>
          <w:szCs w:val="24"/>
        </w:rPr>
        <w:t xml:space="preserve">. </w:t>
      </w:r>
    </w:p>
    <w:p>
      <w:pPr>
        <w:pStyle w:val="3"/>
        <w:spacing w:after="120"/>
        <w:ind w:left="851" w:hanging="851"/>
        <w:jc w:val="both"/>
        <w:rPr>
          <w:rFonts w:ascii="Times New Roman" w:hAnsi="Times New Roman" w:cs="Times New Roman"/>
          <w:sz w:val="24"/>
          <w:szCs w:val="24"/>
        </w:rPr>
      </w:pPr>
      <w:r>
        <w:rPr>
          <w:rFonts w:ascii="Times New Roman" w:hAnsi="Times New Roman" w:cs="Times New Roman"/>
          <w:sz w:val="24"/>
          <w:szCs w:val="24"/>
        </w:rPr>
        <w:t xml:space="preserve">Indonesia. Peraturan Pemerintah Nomor 60 Tahun 2014 </w:t>
      </w:r>
      <w:r>
        <w:rPr>
          <w:rFonts w:ascii="Times New Roman" w:hAnsi="Times New Roman" w:cs="Times New Roman"/>
          <w:i/>
          <w:iCs/>
          <w:sz w:val="24"/>
          <w:szCs w:val="24"/>
        </w:rPr>
        <w:t>tentang</w:t>
      </w:r>
      <w:r>
        <w:rPr>
          <w:rFonts w:ascii="Times New Roman" w:hAnsi="Times New Roman" w:cs="Times New Roman"/>
          <w:sz w:val="24"/>
          <w:szCs w:val="24"/>
        </w:rPr>
        <w:t xml:space="preserve"> </w:t>
      </w:r>
      <w:r>
        <w:rPr>
          <w:rFonts w:ascii="Times New Roman" w:hAnsi="Times New Roman" w:cs="Times New Roman"/>
          <w:i/>
          <w:iCs/>
          <w:sz w:val="24"/>
          <w:szCs w:val="24"/>
        </w:rPr>
        <w:t>Perubahan Kedua atas Peraturan Pemerintah Nomor 60 Tahun 2014 Tentang Dana Desa</w:t>
      </w:r>
      <w:r>
        <w:rPr>
          <w:rFonts w:ascii="Times New Roman" w:hAnsi="Times New Roman" w:cs="Times New Roman"/>
          <w:sz w:val="24"/>
          <w:szCs w:val="24"/>
        </w:rPr>
        <w:t>.</w:t>
      </w:r>
    </w:p>
    <w:p>
      <w:pPr>
        <w:pStyle w:val="3"/>
        <w:spacing w:after="120"/>
        <w:ind w:left="851" w:hanging="851"/>
        <w:jc w:val="both"/>
        <w:rPr>
          <w:rFonts w:ascii="Times New Roman" w:hAnsi="Times New Roman" w:cs="Times New Roman"/>
          <w:sz w:val="24"/>
          <w:szCs w:val="24"/>
          <w:lang w:val="en-US"/>
        </w:rPr>
      </w:pPr>
      <w:r>
        <w:rPr>
          <w:rFonts w:ascii="Times New Roman" w:hAnsi="Times New Roman" w:cs="Times New Roman"/>
          <w:sz w:val="24"/>
          <w:szCs w:val="24"/>
        </w:rPr>
        <w:t xml:space="preserve">Indonesia. Undang-Undang Dasar Negara Republik Indonesia Tahun 1945. </w:t>
      </w:r>
    </w:p>
    <w:p>
      <w:pPr>
        <w:pStyle w:val="3"/>
        <w:spacing w:after="120"/>
        <w:ind w:left="851" w:hanging="851"/>
        <w:jc w:val="both"/>
        <w:rPr>
          <w:rFonts w:ascii="Times New Roman" w:hAnsi="Times New Roman" w:cs="Times New Roman"/>
          <w:sz w:val="24"/>
          <w:szCs w:val="24"/>
          <w:lang w:val="en-US"/>
        </w:rPr>
      </w:pPr>
      <w:r>
        <w:rPr>
          <w:rFonts w:ascii="Times New Roman" w:hAnsi="Times New Roman" w:cs="Times New Roman"/>
          <w:sz w:val="24"/>
          <w:szCs w:val="24"/>
        </w:rPr>
        <w:t xml:space="preserve">Permatasari, Elysabeth </w:t>
      </w:r>
      <w:r>
        <w:rPr>
          <w:rFonts w:ascii="Times New Roman" w:hAnsi="Times New Roman" w:cs="Times New Roman"/>
          <w:i/>
          <w:iCs/>
          <w:sz w:val="24"/>
          <w:szCs w:val="24"/>
        </w:rPr>
        <w:t>et al</w:t>
      </w:r>
      <w:r>
        <w:rPr>
          <w:rFonts w:ascii="Times New Roman" w:hAnsi="Times New Roman" w:cs="Times New Roman"/>
          <w:sz w:val="24"/>
          <w:szCs w:val="24"/>
        </w:rPr>
        <w:t xml:space="preserve">. </w:t>
      </w:r>
      <w:r>
        <w:rPr>
          <w:rFonts w:ascii="Times New Roman" w:hAnsi="Times New Roman" w:cs="Times New Roman"/>
          <w:i/>
          <w:iCs/>
          <w:sz w:val="24"/>
          <w:szCs w:val="24"/>
        </w:rPr>
        <w:t>Pengelolaan Alokasi Dana Desa Dalam Meningkatkan Pembangunan Dan Pemberdayaan Masyarakat Desa</w:t>
      </w:r>
      <w:r>
        <w:rPr>
          <w:rFonts w:ascii="Times New Roman" w:hAnsi="Times New Roman" w:cs="Times New Roman"/>
          <w:sz w:val="24"/>
          <w:szCs w:val="24"/>
        </w:rPr>
        <w:t xml:space="preserve">. Makalah pada </w:t>
      </w:r>
      <w:r>
        <w:rPr>
          <w:rFonts w:ascii="Times New Roman" w:hAnsi="Times New Roman" w:cs="Times New Roman"/>
          <w:i/>
          <w:iCs/>
          <w:sz w:val="24"/>
          <w:szCs w:val="24"/>
        </w:rPr>
        <w:t>Conference on Innovation and Application of Science and Technology (CIASTECH 2018)</w:t>
      </w:r>
      <w:r>
        <w:rPr>
          <w:rFonts w:ascii="Times New Roman" w:hAnsi="Times New Roman" w:cs="Times New Roman"/>
          <w:sz w:val="24"/>
          <w:szCs w:val="24"/>
        </w:rPr>
        <w:t xml:space="preserve"> Universitas Widyagama Malang. (Malang: September 2018), hlm. 193 </w:t>
      </w:r>
    </w:p>
    <w:p>
      <w:pPr>
        <w:spacing w:after="0" w:line="360" w:lineRule="auto"/>
        <w:rPr>
          <w:rFonts w:ascii="Times New Roman" w:hAnsi="Times New Roman" w:cs="Times New Roman"/>
          <w:b/>
          <w:bCs/>
          <w:sz w:val="24"/>
          <w:szCs w:val="24"/>
        </w:rPr>
      </w:pPr>
    </w:p>
    <w:p>
      <w:pPr>
        <w:spacing w:after="0" w:line="360" w:lineRule="auto"/>
        <w:ind w:firstLine="720"/>
        <w:jc w:val="both"/>
        <w:rPr>
          <w:rFonts w:ascii="Times New Roman" w:hAnsi="Times New Roman" w:cs="Times New Roman"/>
          <w:sz w:val="24"/>
          <w:szCs w:val="24"/>
        </w:rPr>
      </w:pPr>
    </w:p>
    <w:p>
      <w:pPr>
        <w:spacing w:after="0" w:line="360" w:lineRule="auto"/>
        <w:jc w:val="center"/>
        <w:rPr>
          <w:rFonts w:ascii="Times New Roman" w:hAnsi="Times New Roman" w:cs="Times New Roman"/>
          <w:b/>
          <w:bCs/>
          <w:sz w:val="24"/>
          <w:szCs w:val="24"/>
        </w:rPr>
      </w:pPr>
    </w:p>
    <w:sectPr>
      <w:footerReference r:id="rId4" w:type="default"/>
      <w:pgSz w:w="11906" w:h="16838"/>
      <w:pgMar w:top="1701" w:right="1757" w:bottom="1701" w:left="2268" w:header="708" w:footer="708" w:gutter="0"/>
      <w:pgNumType w:start="1"/>
      <w:cols w:space="708"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Calibri">
    <w:panose1 w:val="020F0502020204030204"/>
    <w:charset w:val="00"/>
    <w:family w:val="swiss"/>
    <w:pitch w:val="default"/>
    <w:sig w:usb0="E0002AFF" w:usb1="C0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等线">
    <w:altName w:val="Microsoft YaHei"/>
    <w:panose1 w:val="00000000000000000000"/>
    <w:charset w:val="86"/>
    <w:family w:val="auto"/>
    <w:pitch w:val="default"/>
    <w:sig w:usb0="00000000" w:usb1="00000000" w:usb2="00000000" w:usb3="00000000" w:csb0="00000000" w:csb1="00000000"/>
  </w:font>
  <w:font w:name="等线">
    <w:altName w:val="Microsoft YaHei"/>
    <w:panose1 w:val="00000000000000000000"/>
    <w:charset w:val="00"/>
    <w:family w:val="auto"/>
    <w:pitch w:val="default"/>
    <w:sig w:usb0="00000000" w:usb1="00000000" w:usb2="00000000" w:usb3="00000000" w:csb0="00000000" w:csb1="00000000"/>
  </w:font>
  <w:font w:name="Symbol">
    <w:panose1 w:val="05050102010706020507"/>
    <w:charset w:val="02"/>
    <w:family w:val="roman"/>
    <w:pitch w:val="default"/>
    <w:sig w:usb0="00000000" w:usb1="00000000" w:usb2="00000000" w:usb3="00000000" w:csb0="80000000" w:csb1="00000000"/>
  </w:font>
  <w:font w:name="Microsoft YaHei">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rPr>
        <w:rFonts w:ascii="Times New Roman" w:hAnsi="Times New Roman" w:cs="Times New Roman"/>
      </w:rPr>
      <w:id w:val="1358315522"/>
      <w:docPartObj>
        <w:docPartGallery w:val="autotext"/>
      </w:docPartObj>
    </w:sdtPr>
    <w:sdtEndPr>
      <w:rPr>
        <w:rFonts w:ascii="Times New Roman" w:hAnsi="Times New Roman" w:cs="Times New Roman"/>
      </w:rPr>
    </w:sdtEndPr>
    <w:sdtContent>
      <w:p>
        <w:pPr>
          <w:pStyle w:val="2"/>
          <w:jc w:val="right"/>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 xml:space="preserve"> PAGE   \* MERGEFORMAT </w:instrText>
        </w:r>
        <w:r>
          <w:rPr>
            <w:rFonts w:ascii="Times New Roman" w:hAnsi="Times New Roman" w:cs="Times New Roman"/>
          </w:rPr>
          <w:fldChar w:fldCharType="separate"/>
        </w:r>
        <w:r>
          <w:rPr>
            <w:rFonts w:ascii="Times New Roman" w:hAnsi="Times New Roman" w:cs="Times New Roman"/>
          </w:rPr>
          <w:t>2</w:t>
        </w:r>
        <w:r>
          <w:rPr>
            <w:rFonts w:ascii="Times New Roman" w:hAnsi="Times New Roman" w:cs="Times New Roman"/>
          </w:rPr>
          <w:fldChar w:fldCharType="end"/>
        </w:r>
      </w:p>
    </w:sdtContent>
  </w:sdt>
  <w:p>
    <w:pPr>
      <w:pStyle w:val="2"/>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id="0">
    <w:p>
      <w:pPr>
        <w:pStyle w:val="3"/>
        <w:ind w:firstLine="720"/>
        <w:jc w:val="both"/>
        <w:rPr>
          <w:rFonts w:ascii="Times New Roman" w:hAnsi="Times New Roman" w:cs="Times New Roman"/>
          <w:lang w:val="en-US"/>
        </w:rPr>
      </w:pPr>
      <w:r>
        <w:rPr>
          <w:rStyle w:val="6"/>
          <w:rFonts w:ascii="Times New Roman" w:hAnsi="Times New Roman" w:cs="Times New Roman"/>
        </w:rPr>
        <w:footnoteRef/>
      </w:r>
      <w:r>
        <w:rPr>
          <w:rFonts w:ascii="Times New Roman" w:hAnsi="Times New Roman" w:cs="Times New Roman"/>
        </w:rPr>
        <w:t xml:space="preserve">Disampaikan dalam penyuluhan hukum dosen STH Bandung di Kota Garut, Kamis 26 September 2019. </w:t>
      </w:r>
    </w:p>
  </w:footnote>
  <w:footnote w:id="1">
    <w:p>
      <w:pPr>
        <w:pStyle w:val="3"/>
        <w:ind w:firstLine="720"/>
        <w:jc w:val="both"/>
        <w:rPr>
          <w:rFonts w:ascii="Times New Roman" w:hAnsi="Times New Roman" w:cs="Times New Roman"/>
          <w:lang w:val="en-US"/>
        </w:rPr>
      </w:pPr>
      <w:r>
        <w:rPr>
          <w:rStyle w:val="6"/>
          <w:rFonts w:ascii="Times New Roman" w:hAnsi="Times New Roman" w:cs="Times New Roman"/>
        </w:rPr>
        <w:footnoteRef/>
      </w:r>
      <w:r>
        <w:rPr>
          <w:rFonts w:ascii="Times New Roman" w:hAnsi="Times New Roman" w:cs="Times New Roman"/>
        </w:rPr>
        <w:t xml:space="preserve">Lihat Pasal 1 angka 2 Peraturan Pemerintah Nomor 60 Tahun 2014 tentang </w:t>
      </w:r>
      <w:r>
        <w:rPr>
          <w:rFonts w:ascii="Times New Roman" w:hAnsi="Times New Roman" w:cs="Times New Roman"/>
          <w:i/>
          <w:iCs/>
        </w:rPr>
        <w:t>Perubahan Kedua atas Peraturan Pemerintah Nomor 60 Tahun 2014 Tentang Dana Desa</w:t>
      </w:r>
      <w:r>
        <w:rPr>
          <w:rFonts w:ascii="Times New Roman" w:hAnsi="Times New Roman" w:cs="Times New Roman"/>
        </w:rPr>
        <w:t xml:space="preserve"> yang bersumber dari Anggaran Pendapatan Dan Belanja Negara Jo Pasal 2 Peraturan Menteri Dalam Negeri Republik Indonesia Nomor 20 Tahun 2018 tentang </w:t>
      </w:r>
      <w:r>
        <w:rPr>
          <w:rFonts w:ascii="Times New Roman" w:hAnsi="Times New Roman" w:cs="Times New Roman"/>
          <w:i/>
          <w:iCs/>
        </w:rPr>
        <w:t>Pengelolaan Keuangan Desa</w:t>
      </w:r>
      <w:r>
        <w:rPr>
          <w:rFonts w:ascii="Times New Roman" w:hAnsi="Times New Roman" w:cs="Times New Roman"/>
        </w:rPr>
        <w:t xml:space="preserve">. </w:t>
      </w:r>
    </w:p>
  </w:footnote>
  <w:footnote w:id="2">
    <w:p>
      <w:pPr>
        <w:pStyle w:val="3"/>
        <w:ind w:firstLine="720"/>
        <w:jc w:val="both"/>
        <w:rPr>
          <w:rFonts w:ascii="Times New Roman" w:hAnsi="Times New Roman" w:cs="Times New Roman"/>
          <w:lang w:val="en-US"/>
        </w:rPr>
      </w:pPr>
      <w:r>
        <w:rPr>
          <w:rStyle w:val="6"/>
          <w:rFonts w:ascii="Times New Roman" w:hAnsi="Times New Roman" w:cs="Times New Roman"/>
        </w:rPr>
        <w:footnoteRef/>
      </w:r>
      <w:r>
        <w:rPr>
          <w:rFonts w:ascii="Times New Roman" w:hAnsi="Times New Roman" w:cs="Times New Roman"/>
        </w:rPr>
        <w:t xml:space="preserve">Nyimas Latifah Letty Aziz, “Otonomi Desa dan Efektivitas Dana Desa,” </w:t>
      </w:r>
      <w:r>
        <w:rPr>
          <w:rFonts w:ascii="Times New Roman" w:hAnsi="Times New Roman" w:cs="Times New Roman"/>
          <w:i/>
          <w:iCs/>
        </w:rPr>
        <w:t xml:space="preserve">Jurnal Penelitian Politik, Vol. 13 No. 2 </w:t>
      </w:r>
      <w:r>
        <w:rPr>
          <w:rFonts w:ascii="Times New Roman" w:hAnsi="Times New Roman" w:cs="Times New Roman"/>
        </w:rPr>
        <w:t xml:space="preserve">(Desember 2016), hlm. 209 </w:t>
      </w:r>
    </w:p>
  </w:footnote>
  <w:footnote w:id="3">
    <w:p>
      <w:pPr>
        <w:pStyle w:val="3"/>
        <w:ind w:firstLine="720"/>
        <w:jc w:val="both"/>
        <w:rPr>
          <w:rFonts w:ascii="Times New Roman" w:hAnsi="Times New Roman" w:cs="Times New Roman"/>
          <w:lang w:val="en-US"/>
        </w:rPr>
      </w:pPr>
      <w:r>
        <w:rPr>
          <w:rStyle w:val="6"/>
          <w:rFonts w:ascii="Times New Roman" w:hAnsi="Times New Roman" w:cs="Times New Roman"/>
        </w:rPr>
        <w:footnoteRef/>
      </w:r>
      <w:r>
        <w:rPr>
          <w:rFonts w:ascii="Times New Roman" w:hAnsi="Times New Roman" w:cs="Times New Roman"/>
        </w:rPr>
        <w:t xml:space="preserve">Ellectrananda Anugerah Ash-shidiqq dan Hendrawan Wibisono, “Akuntabilitas Pengelolaan Dana Desa sebagai Upaya Pencegahan Korupsi Pengelolaan Dana Desa,” </w:t>
      </w:r>
      <w:r>
        <w:rPr>
          <w:rFonts w:ascii="Times New Roman" w:hAnsi="Times New Roman" w:cs="Times New Roman"/>
          <w:i/>
          <w:iCs/>
        </w:rPr>
        <w:t xml:space="preserve">Jurnal Seminar Nasional Hukum Universitas Negeri Semarang Vol. 4 No. 1 </w:t>
      </w:r>
      <w:r>
        <w:rPr>
          <w:rFonts w:ascii="Times New Roman" w:hAnsi="Times New Roman" w:cs="Times New Roman"/>
        </w:rPr>
        <w:t xml:space="preserve">(2018), hlm. 125-126. </w:t>
      </w:r>
    </w:p>
  </w:footnote>
  <w:footnote w:id="4">
    <w:p>
      <w:pPr>
        <w:pStyle w:val="3"/>
        <w:ind w:firstLine="720"/>
        <w:jc w:val="both"/>
        <w:rPr>
          <w:rFonts w:ascii="Times New Roman" w:hAnsi="Times New Roman" w:cs="Times New Roman"/>
          <w:lang w:val="en-US"/>
        </w:rPr>
      </w:pPr>
      <w:r>
        <w:rPr>
          <w:rStyle w:val="6"/>
          <w:rFonts w:ascii="Times New Roman" w:hAnsi="Times New Roman" w:cs="Times New Roman"/>
        </w:rPr>
        <w:footnoteRef/>
      </w:r>
      <w:r>
        <w:rPr>
          <w:rFonts w:ascii="Times New Roman" w:hAnsi="Times New Roman" w:cs="Times New Roman"/>
        </w:rPr>
        <w:t xml:space="preserve">Ihsanudini, “ICW: Ada 181 Kasus Korupsi Dana Desa, Rugikan Negara Rp. 40, 6 Miliar,” nasional.kompas.com/read/2018/11/21/19000481/icw-ada-181-kasus-korupsi-dana-desa-rugikan-negara-rp-406-miliar?page=all, diakses 18 September 2019. </w:t>
      </w:r>
    </w:p>
  </w:footnote>
  <w:footnote w:id="5">
    <w:p>
      <w:pPr>
        <w:pStyle w:val="3"/>
        <w:ind w:firstLine="720"/>
        <w:jc w:val="both"/>
        <w:rPr>
          <w:rFonts w:ascii="Times New Roman" w:hAnsi="Times New Roman" w:cs="Times New Roman"/>
          <w:lang w:val="en-US"/>
        </w:rPr>
      </w:pPr>
      <w:r>
        <w:rPr>
          <w:rStyle w:val="6"/>
          <w:rFonts w:ascii="Times New Roman" w:hAnsi="Times New Roman" w:cs="Times New Roman"/>
        </w:rPr>
        <w:footnoteRef/>
      </w:r>
      <w:r>
        <w:rPr>
          <w:rFonts w:ascii="Times New Roman" w:hAnsi="Times New Roman" w:cs="Times New Roman"/>
        </w:rPr>
        <w:t xml:space="preserve">Elysabeth Permatasari </w:t>
      </w:r>
      <w:r>
        <w:rPr>
          <w:rFonts w:ascii="Times New Roman" w:hAnsi="Times New Roman" w:cs="Times New Roman"/>
          <w:i/>
          <w:iCs/>
        </w:rPr>
        <w:t>et al</w:t>
      </w:r>
      <w:r>
        <w:rPr>
          <w:rFonts w:ascii="Times New Roman" w:hAnsi="Times New Roman" w:cs="Times New Roman"/>
        </w:rPr>
        <w:t xml:space="preserve">, </w:t>
      </w:r>
      <w:r>
        <w:rPr>
          <w:rFonts w:ascii="Times New Roman" w:hAnsi="Times New Roman" w:cs="Times New Roman"/>
          <w:i/>
          <w:iCs/>
        </w:rPr>
        <w:t>Pengelolaan Alokasi Dana Desa Dalam Meningkatkan Pembangunan Dan Pemberdayaan Masyarakat Desa</w:t>
      </w:r>
      <w:r>
        <w:rPr>
          <w:rFonts w:ascii="Times New Roman" w:hAnsi="Times New Roman" w:cs="Times New Roman"/>
        </w:rPr>
        <w:t xml:space="preserve">, Makalah pada </w:t>
      </w:r>
      <w:r>
        <w:rPr>
          <w:rFonts w:ascii="Times New Roman" w:hAnsi="Times New Roman" w:cs="Times New Roman"/>
          <w:i/>
          <w:iCs/>
        </w:rPr>
        <w:t>Conference on Innovation and Application of Science and Technology (CIASTECH 2018)</w:t>
      </w:r>
      <w:r>
        <w:rPr>
          <w:rFonts w:ascii="Times New Roman" w:hAnsi="Times New Roman" w:cs="Times New Roman"/>
        </w:rPr>
        <w:t xml:space="preserve"> Universitas Widyagama Malang, (Malang: September 2018), hlm. 193 </w:t>
      </w:r>
    </w:p>
  </w:footnote>
  <w:footnote w:id="6">
    <w:p>
      <w:pPr>
        <w:pStyle w:val="3"/>
        <w:ind w:firstLine="720"/>
        <w:jc w:val="both"/>
        <w:rPr>
          <w:rFonts w:ascii="Times New Roman" w:hAnsi="Times New Roman" w:cs="Times New Roman"/>
          <w:lang w:val="en-US"/>
        </w:rPr>
      </w:pPr>
      <w:r>
        <w:rPr>
          <w:rStyle w:val="6"/>
          <w:rFonts w:ascii="Times New Roman" w:hAnsi="Times New Roman" w:cs="Times New Roman"/>
        </w:rPr>
        <w:footnoteRef/>
      </w:r>
      <w:r>
        <w:rPr>
          <w:rFonts w:ascii="Times New Roman" w:hAnsi="Times New Roman" w:cs="Times New Roman"/>
        </w:rPr>
        <w:t xml:space="preserve">Menurut Pasal 4 ayat (1) Undang-Undang Dasar Negara Republik Indonesia Tahun 1945 Presiden memegang kekuasaan pemerintahan. </w:t>
      </w:r>
    </w:p>
  </w:footnote>
  <w:footnote w:id="7">
    <w:p>
      <w:pPr>
        <w:pStyle w:val="3"/>
        <w:ind w:firstLine="720"/>
        <w:jc w:val="both"/>
        <w:rPr>
          <w:rFonts w:ascii="Times New Roman" w:hAnsi="Times New Roman" w:cs="Times New Roman"/>
          <w:lang w:val="en-US"/>
        </w:rPr>
      </w:pPr>
      <w:r>
        <w:rPr>
          <w:rStyle w:val="6"/>
          <w:rFonts w:ascii="Times New Roman" w:hAnsi="Times New Roman" w:cs="Times New Roman"/>
        </w:rPr>
        <w:footnoteRef/>
      </w:r>
      <w:r>
        <w:rPr>
          <w:rFonts w:ascii="Times New Roman" w:hAnsi="Times New Roman" w:cs="Times New Roman"/>
          <w:lang w:val="en-US"/>
        </w:rPr>
        <w:t xml:space="preserve">Lampiran Peraturan Menteri Keuangan Nomor 226/PMK.07/2017 tentang </w:t>
      </w:r>
      <w:r>
        <w:rPr>
          <w:rFonts w:ascii="Times New Roman" w:hAnsi="Times New Roman" w:cs="Times New Roman"/>
          <w:i/>
          <w:iCs/>
          <w:lang w:val="en-US"/>
        </w:rPr>
        <w:t>Perubahan Rincian Dana Desa Menurut Daerah Kabupaten/Kota</w:t>
      </w:r>
      <w:r>
        <w:rPr>
          <w:rFonts w:ascii="Times New Roman" w:hAnsi="Times New Roman" w:cs="Times New Roman"/>
          <w:lang w:val="en-US"/>
        </w:rP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EF0AA2"/>
    <w:multiLevelType w:val="multilevel"/>
    <w:tmpl w:val="00EF0AA2"/>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
    <w:nsid w:val="05B40080"/>
    <w:multiLevelType w:val="multilevel"/>
    <w:tmpl w:val="05B40080"/>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
    <w:nsid w:val="08460B9B"/>
    <w:multiLevelType w:val="multilevel"/>
    <w:tmpl w:val="08460B9B"/>
    <w:lvl w:ilvl="0" w:tentative="0">
      <w:start w:val="1"/>
      <w:numFmt w:val="lowerLetter"/>
      <w:lvlText w:val="%1."/>
      <w:lvlJc w:val="left"/>
      <w:pPr>
        <w:ind w:left="1918" w:hanging="360"/>
      </w:pPr>
    </w:lvl>
    <w:lvl w:ilvl="1" w:tentative="0">
      <w:start w:val="1"/>
      <w:numFmt w:val="lowerLetter"/>
      <w:lvlText w:val="%2."/>
      <w:lvlJc w:val="left"/>
      <w:pPr>
        <w:ind w:left="2638" w:hanging="360"/>
      </w:pPr>
    </w:lvl>
    <w:lvl w:ilvl="2" w:tentative="0">
      <w:start w:val="1"/>
      <w:numFmt w:val="lowerRoman"/>
      <w:lvlText w:val="%3."/>
      <w:lvlJc w:val="right"/>
      <w:pPr>
        <w:ind w:left="3358" w:hanging="180"/>
      </w:pPr>
    </w:lvl>
    <w:lvl w:ilvl="3" w:tentative="0">
      <w:start w:val="1"/>
      <w:numFmt w:val="decimal"/>
      <w:lvlText w:val="%4."/>
      <w:lvlJc w:val="left"/>
      <w:pPr>
        <w:ind w:left="4078" w:hanging="360"/>
      </w:pPr>
    </w:lvl>
    <w:lvl w:ilvl="4" w:tentative="0">
      <w:start w:val="1"/>
      <w:numFmt w:val="lowerLetter"/>
      <w:lvlText w:val="%5."/>
      <w:lvlJc w:val="left"/>
      <w:pPr>
        <w:ind w:left="4798" w:hanging="360"/>
      </w:pPr>
    </w:lvl>
    <w:lvl w:ilvl="5" w:tentative="0">
      <w:start w:val="1"/>
      <w:numFmt w:val="lowerRoman"/>
      <w:lvlText w:val="%6."/>
      <w:lvlJc w:val="right"/>
      <w:pPr>
        <w:ind w:left="5518" w:hanging="180"/>
      </w:pPr>
    </w:lvl>
    <w:lvl w:ilvl="6" w:tentative="0">
      <w:start w:val="1"/>
      <w:numFmt w:val="decimal"/>
      <w:lvlText w:val="%7."/>
      <w:lvlJc w:val="left"/>
      <w:pPr>
        <w:ind w:left="6238" w:hanging="360"/>
      </w:pPr>
    </w:lvl>
    <w:lvl w:ilvl="7" w:tentative="0">
      <w:start w:val="1"/>
      <w:numFmt w:val="lowerLetter"/>
      <w:lvlText w:val="%8."/>
      <w:lvlJc w:val="left"/>
      <w:pPr>
        <w:ind w:left="6958" w:hanging="360"/>
      </w:pPr>
    </w:lvl>
    <w:lvl w:ilvl="8" w:tentative="0">
      <w:start w:val="1"/>
      <w:numFmt w:val="lowerRoman"/>
      <w:lvlText w:val="%9."/>
      <w:lvlJc w:val="right"/>
      <w:pPr>
        <w:ind w:left="7678" w:hanging="180"/>
      </w:pPr>
    </w:lvl>
  </w:abstractNum>
  <w:abstractNum w:abstractNumId="3">
    <w:nsid w:val="13D930A0"/>
    <w:multiLevelType w:val="multilevel"/>
    <w:tmpl w:val="13D930A0"/>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4">
    <w:nsid w:val="168220CB"/>
    <w:multiLevelType w:val="multilevel"/>
    <w:tmpl w:val="168220CB"/>
    <w:lvl w:ilvl="0" w:tentative="0">
      <w:start w:val="1"/>
      <w:numFmt w:val="decimal"/>
      <w:lvlText w:val="(%1)"/>
      <w:lvlJc w:val="left"/>
      <w:pPr>
        <w:ind w:left="779" w:hanging="360"/>
      </w:pPr>
      <w:rPr>
        <w:rFonts w:hint="default"/>
      </w:rPr>
    </w:lvl>
    <w:lvl w:ilvl="1" w:tentative="0">
      <w:start w:val="1"/>
      <w:numFmt w:val="lowerLetter"/>
      <w:lvlText w:val="%2."/>
      <w:lvlJc w:val="left"/>
      <w:pPr>
        <w:ind w:left="1499" w:hanging="360"/>
      </w:pPr>
    </w:lvl>
    <w:lvl w:ilvl="2" w:tentative="0">
      <w:start w:val="1"/>
      <w:numFmt w:val="lowerRoman"/>
      <w:lvlText w:val="%3."/>
      <w:lvlJc w:val="right"/>
      <w:pPr>
        <w:ind w:left="2219" w:hanging="180"/>
      </w:pPr>
    </w:lvl>
    <w:lvl w:ilvl="3" w:tentative="0">
      <w:start w:val="1"/>
      <w:numFmt w:val="decimal"/>
      <w:lvlText w:val="%4."/>
      <w:lvlJc w:val="left"/>
      <w:pPr>
        <w:ind w:left="2939" w:hanging="360"/>
      </w:pPr>
    </w:lvl>
    <w:lvl w:ilvl="4" w:tentative="0">
      <w:start w:val="1"/>
      <w:numFmt w:val="lowerLetter"/>
      <w:lvlText w:val="%5."/>
      <w:lvlJc w:val="left"/>
      <w:pPr>
        <w:ind w:left="3659" w:hanging="360"/>
      </w:pPr>
    </w:lvl>
    <w:lvl w:ilvl="5" w:tentative="0">
      <w:start w:val="1"/>
      <w:numFmt w:val="lowerRoman"/>
      <w:lvlText w:val="%6."/>
      <w:lvlJc w:val="right"/>
      <w:pPr>
        <w:ind w:left="4379" w:hanging="180"/>
      </w:pPr>
    </w:lvl>
    <w:lvl w:ilvl="6" w:tentative="0">
      <w:start w:val="1"/>
      <w:numFmt w:val="decimal"/>
      <w:lvlText w:val="%7."/>
      <w:lvlJc w:val="left"/>
      <w:pPr>
        <w:ind w:left="5099" w:hanging="360"/>
      </w:pPr>
    </w:lvl>
    <w:lvl w:ilvl="7" w:tentative="0">
      <w:start w:val="1"/>
      <w:numFmt w:val="lowerLetter"/>
      <w:lvlText w:val="%8."/>
      <w:lvlJc w:val="left"/>
      <w:pPr>
        <w:ind w:left="5819" w:hanging="360"/>
      </w:pPr>
    </w:lvl>
    <w:lvl w:ilvl="8" w:tentative="0">
      <w:start w:val="1"/>
      <w:numFmt w:val="lowerRoman"/>
      <w:lvlText w:val="%9."/>
      <w:lvlJc w:val="right"/>
      <w:pPr>
        <w:ind w:left="6539" w:hanging="180"/>
      </w:pPr>
    </w:lvl>
  </w:abstractNum>
  <w:abstractNum w:abstractNumId="5">
    <w:nsid w:val="1CAA54C8"/>
    <w:multiLevelType w:val="multilevel"/>
    <w:tmpl w:val="1CAA54C8"/>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6">
    <w:nsid w:val="1E235E80"/>
    <w:multiLevelType w:val="multilevel"/>
    <w:tmpl w:val="1E235E80"/>
    <w:lvl w:ilvl="0" w:tentative="0">
      <w:start w:val="1"/>
      <w:numFmt w:val="decimal"/>
      <w:lvlText w:val="(%1)"/>
      <w:lvlJc w:val="left"/>
      <w:pPr>
        <w:ind w:left="1080" w:hanging="360"/>
      </w:pPr>
      <w:rPr>
        <w:rFonts w:hint="default"/>
      </w:rPr>
    </w:lvl>
    <w:lvl w:ilvl="1" w:tentative="0">
      <w:start w:val="1"/>
      <w:numFmt w:val="lowerLetter"/>
      <w:lvlText w:val="%2."/>
      <w:lvlJc w:val="left"/>
      <w:pPr>
        <w:ind w:left="1800" w:hanging="360"/>
      </w:pPr>
    </w:lvl>
    <w:lvl w:ilvl="2" w:tentative="0">
      <w:start w:val="1"/>
      <w:numFmt w:val="lowerRoman"/>
      <w:lvlText w:val="%3."/>
      <w:lvlJc w:val="right"/>
      <w:pPr>
        <w:ind w:left="2520" w:hanging="180"/>
      </w:pPr>
    </w:lvl>
    <w:lvl w:ilvl="3" w:tentative="0">
      <w:start w:val="1"/>
      <w:numFmt w:val="decimal"/>
      <w:lvlText w:val="%4."/>
      <w:lvlJc w:val="left"/>
      <w:pPr>
        <w:ind w:left="3240" w:hanging="360"/>
      </w:pPr>
    </w:lvl>
    <w:lvl w:ilvl="4" w:tentative="0">
      <w:start w:val="1"/>
      <w:numFmt w:val="lowerLetter"/>
      <w:lvlText w:val="%5."/>
      <w:lvlJc w:val="left"/>
      <w:pPr>
        <w:ind w:left="3960" w:hanging="360"/>
      </w:pPr>
    </w:lvl>
    <w:lvl w:ilvl="5" w:tentative="0">
      <w:start w:val="1"/>
      <w:numFmt w:val="lowerRoman"/>
      <w:lvlText w:val="%6."/>
      <w:lvlJc w:val="right"/>
      <w:pPr>
        <w:ind w:left="4680" w:hanging="180"/>
      </w:pPr>
    </w:lvl>
    <w:lvl w:ilvl="6" w:tentative="0">
      <w:start w:val="1"/>
      <w:numFmt w:val="decimal"/>
      <w:lvlText w:val="%7."/>
      <w:lvlJc w:val="left"/>
      <w:pPr>
        <w:ind w:left="5400" w:hanging="360"/>
      </w:pPr>
    </w:lvl>
    <w:lvl w:ilvl="7" w:tentative="0">
      <w:start w:val="1"/>
      <w:numFmt w:val="lowerLetter"/>
      <w:lvlText w:val="%8."/>
      <w:lvlJc w:val="left"/>
      <w:pPr>
        <w:ind w:left="6120" w:hanging="360"/>
      </w:pPr>
    </w:lvl>
    <w:lvl w:ilvl="8" w:tentative="0">
      <w:start w:val="1"/>
      <w:numFmt w:val="lowerRoman"/>
      <w:lvlText w:val="%9."/>
      <w:lvlJc w:val="right"/>
      <w:pPr>
        <w:ind w:left="6840" w:hanging="180"/>
      </w:pPr>
    </w:lvl>
  </w:abstractNum>
  <w:abstractNum w:abstractNumId="7">
    <w:nsid w:val="208B3693"/>
    <w:multiLevelType w:val="multilevel"/>
    <w:tmpl w:val="208B3693"/>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8">
    <w:nsid w:val="25C35645"/>
    <w:multiLevelType w:val="multilevel"/>
    <w:tmpl w:val="25C35645"/>
    <w:lvl w:ilvl="0" w:tentative="0">
      <w:start w:val="1"/>
      <w:numFmt w:val="lowerLetter"/>
      <w:lvlText w:val="%1."/>
      <w:lvlJc w:val="left"/>
      <w:pPr>
        <w:ind w:left="1800" w:hanging="360"/>
      </w:pPr>
    </w:lvl>
    <w:lvl w:ilvl="1" w:tentative="0">
      <w:start w:val="1"/>
      <w:numFmt w:val="lowerLetter"/>
      <w:lvlText w:val="%2."/>
      <w:lvlJc w:val="left"/>
      <w:pPr>
        <w:ind w:left="2520" w:hanging="360"/>
      </w:pPr>
    </w:lvl>
    <w:lvl w:ilvl="2" w:tentative="0">
      <w:start w:val="1"/>
      <w:numFmt w:val="lowerRoman"/>
      <w:lvlText w:val="%3."/>
      <w:lvlJc w:val="right"/>
      <w:pPr>
        <w:ind w:left="3240" w:hanging="180"/>
      </w:pPr>
    </w:lvl>
    <w:lvl w:ilvl="3" w:tentative="0">
      <w:start w:val="1"/>
      <w:numFmt w:val="decimal"/>
      <w:lvlText w:val="%4."/>
      <w:lvlJc w:val="left"/>
      <w:pPr>
        <w:ind w:left="3960" w:hanging="360"/>
      </w:pPr>
    </w:lvl>
    <w:lvl w:ilvl="4" w:tentative="0">
      <w:start w:val="1"/>
      <w:numFmt w:val="lowerLetter"/>
      <w:lvlText w:val="%5."/>
      <w:lvlJc w:val="left"/>
      <w:pPr>
        <w:ind w:left="4680" w:hanging="360"/>
      </w:pPr>
    </w:lvl>
    <w:lvl w:ilvl="5" w:tentative="0">
      <w:start w:val="1"/>
      <w:numFmt w:val="lowerRoman"/>
      <w:lvlText w:val="%6."/>
      <w:lvlJc w:val="right"/>
      <w:pPr>
        <w:ind w:left="5400" w:hanging="180"/>
      </w:pPr>
    </w:lvl>
    <w:lvl w:ilvl="6" w:tentative="0">
      <w:start w:val="1"/>
      <w:numFmt w:val="decimal"/>
      <w:lvlText w:val="%7."/>
      <w:lvlJc w:val="left"/>
      <w:pPr>
        <w:ind w:left="6120" w:hanging="360"/>
      </w:pPr>
    </w:lvl>
    <w:lvl w:ilvl="7" w:tentative="0">
      <w:start w:val="1"/>
      <w:numFmt w:val="lowerLetter"/>
      <w:lvlText w:val="%8."/>
      <w:lvlJc w:val="left"/>
      <w:pPr>
        <w:ind w:left="6840" w:hanging="360"/>
      </w:pPr>
    </w:lvl>
    <w:lvl w:ilvl="8" w:tentative="0">
      <w:start w:val="1"/>
      <w:numFmt w:val="lowerRoman"/>
      <w:lvlText w:val="%9."/>
      <w:lvlJc w:val="right"/>
      <w:pPr>
        <w:ind w:left="7560" w:hanging="180"/>
      </w:pPr>
    </w:lvl>
  </w:abstractNum>
  <w:abstractNum w:abstractNumId="9">
    <w:nsid w:val="27BF104F"/>
    <w:multiLevelType w:val="multilevel"/>
    <w:tmpl w:val="27BF104F"/>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0">
    <w:nsid w:val="296137DB"/>
    <w:multiLevelType w:val="multilevel"/>
    <w:tmpl w:val="296137DB"/>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1">
    <w:nsid w:val="34056662"/>
    <w:multiLevelType w:val="multilevel"/>
    <w:tmpl w:val="34056662"/>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2">
    <w:nsid w:val="34D80A45"/>
    <w:multiLevelType w:val="multilevel"/>
    <w:tmpl w:val="34D80A45"/>
    <w:lvl w:ilvl="0" w:tentative="0">
      <w:start w:val="1"/>
      <w:numFmt w:val="lowerLetter"/>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3">
    <w:nsid w:val="37D93174"/>
    <w:multiLevelType w:val="multilevel"/>
    <w:tmpl w:val="37D93174"/>
    <w:lvl w:ilvl="0" w:tentative="0">
      <w:start w:val="1"/>
      <w:numFmt w:val="decimal"/>
      <w:lvlText w:val="%1."/>
      <w:lvlJc w:val="left"/>
      <w:pPr>
        <w:ind w:left="779" w:hanging="360"/>
      </w:pPr>
    </w:lvl>
    <w:lvl w:ilvl="1" w:tentative="0">
      <w:start w:val="1"/>
      <w:numFmt w:val="lowerLetter"/>
      <w:lvlText w:val="%2."/>
      <w:lvlJc w:val="left"/>
      <w:pPr>
        <w:ind w:left="1499" w:hanging="360"/>
      </w:pPr>
    </w:lvl>
    <w:lvl w:ilvl="2" w:tentative="0">
      <w:start w:val="1"/>
      <w:numFmt w:val="lowerRoman"/>
      <w:lvlText w:val="%3."/>
      <w:lvlJc w:val="right"/>
      <w:pPr>
        <w:ind w:left="2219" w:hanging="180"/>
      </w:pPr>
    </w:lvl>
    <w:lvl w:ilvl="3" w:tentative="0">
      <w:start w:val="1"/>
      <w:numFmt w:val="decimal"/>
      <w:lvlText w:val="%4."/>
      <w:lvlJc w:val="left"/>
      <w:pPr>
        <w:ind w:left="2939" w:hanging="360"/>
      </w:pPr>
    </w:lvl>
    <w:lvl w:ilvl="4" w:tentative="0">
      <w:start w:val="1"/>
      <w:numFmt w:val="lowerLetter"/>
      <w:lvlText w:val="%5."/>
      <w:lvlJc w:val="left"/>
      <w:pPr>
        <w:ind w:left="3659" w:hanging="360"/>
      </w:pPr>
    </w:lvl>
    <w:lvl w:ilvl="5" w:tentative="0">
      <w:start w:val="1"/>
      <w:numFmt w:val="lowerRoman"/>
      <w:lvlText w:val="%6."/>
      <w:lvlJc w:val="right"/>
      <w:pPr>
        <w:ind w:left="4379" w:hanging="180"/>
      </w:pPr>
    </w:lvl>
    <w:lvl w:ilvl="6" w:tentative="0">
      <w:start w:val="1"/>
      <w:numFmt w:val="decimal"/>
      <w:lvlText w:val="%7."/>
      <w:lvlJc w:val="left"/>
      <w:pPr>
        <w:ind w:left="5099" w:hanging="360"/>
      </w:pPr>
    </w:lvl>
    <w:lvl w:ilvl="7" w:tentative="0">
      <w:start w:val="1"/>
      <w:numFmt w:val="lowerLetter"/>
      <w:lvlText w:val="%8."/>
      <w:lvlJc w:val="left"/>
      <w:pPr>
        <w:ind w:left="5819" w:hanging="360"/>
      </w:pPr>
    </w:lvl>
    <w:lvl w:ilvl="8" w:tentative="0">
      <w:start w:val="1"/>
      <w:numFmt w:val="lowerRoman"/>
      <w:lvlText w:val="%9."/>
      <w:lvlJc w:val="right"/>
      <w:pPr>
        <w:ind w:left="6539" w:hanging="180"/>
      </w:pPr>
    </w:lvl>
  </w:abstractNum>
  <w:abstractNum w:abstractNumId="14">
    <w:nsid w:val="3FB41527"/>
    <w:multiLevelType w:val="multilevel"/>
    <w:tmpl w:val="3FB41527"/>
    <w:lvl w:ilvl="0" w:tentative="0">
      <w:start w:val="1"/>
      <w:numFmt w:val="lowerLetter"/>
      <w:lvlText w:val="%1."/>
      <w:lvlJc w:val="left"/>
      <w:pPr>
        <w:ind w:left="1499" w:hanging="360"/>
      </w:pPr>
    </w:lvl>
    <w:lvl w:ilvl="1" w:tentative="0">
      <w:start w:val="1"/>
      <w:numFmt w:val="lowerLetter"/>
      <w:lvlText w:val="%2."/>
      <w:lvlJc w:val="left"/>
      <w:pPr>
        <w:ind w:left="1353" w:hanging="360"/>
      </w:pPr>
    </w:lvl>
    <w:lvl w:ilvl="2" w:tentative="0">
      <w:start w:val="1"/>
      <w:numFmt w:val="lowerRoman"/>
      <w:lvlText w:val="%3."/>
      <w:lvlJc w:val="right"/>
      <w:pPr>
        <w:ind w:left="2939" w:hanging="180"/>
      </w:pPr>
    </w:lvl>
    <w:lvl w:ilvl="3" w:tentative="0">
      <w:start w:val="1"/>
      <w:numFmt w:val="decimal"/>
      <w:lvlText w:val="%4."/>
      <w:lvlJc w:val="left"/>
      <w:pPr>
        <w:ind w:left="3659" w:hanging="360"/>
      </w:pPr>
    </w:lvl>
    <w:lvl w:ilvl="4" w:tentative="0">
      <w:start w:val="1"/>
      <w:numFmt w:val="lowerLetter"/>
      <w:lvlText w:val="%5."/>
      <w:lvlJc w:val="left"/>
      <w:pPr>
        <w:ind w:left="4379" w:hanging="360"/>
      </w:pPr>
    </w:lvl>
    <w:lvl w:ilvl="5" w:tentative="0">
      <w:start w:val="1"/>
      <w:numFmt w:val="lowerRoman"/>
      <w:lvlText w:val="%6."/>
      <w:lvlJc w:val="right"/>
      <w:pPr>
        <w:ind w:left="5099" w:hanging="180"/>
      </w:pPr>
    </w:lvl>
    <w:lvl w:ilvl="6" w:tentative="0">
      <w:start w:val="1"/>
      <w:numFmt w:val="decimal"/>
      <w:lvlText w:val="%7."/>
      <w:lvlJc w:val="left"/>
      <w:pPr>
        <w:ind w:left="5819" w:hanging="360"/>
      </w:pPr>
    </w:lvl>
    <w:lvl w:ilvl="7" w:tentative="0">
      <w:start w:val="1"/>
      <w:numFmt w:val="lowerLetter"/>
      <w:lvlText w:val="%8."/>
      <w:lvlJc w:val="left"/>
      <w:pPr>
        <w:ind w:left="6539" w:hanging="360"/>
      </w:pPr>
    </w:lvl>
    <w:lvl w:ilvl="8" w:tentative="0">
      <w:start w:val="1"/>
      <w:numFmt w:val="lowerRoman"/>
      <w:lvlText w:val="%9."/>
      <w:lvlJc w:val="right"/>
      <w:pPr>
        <w:ind w:left="7259" w:hanging="180"/>
      </w:pPr>
    </w:lvl>
  </w:abstractNum>
  <w:abstractNum w:abstractNumId="15">
    <w:nsid w:val="44F81FA3"/>
    <w:multiLevelType w:val="multilevel"/>
    <w:tmpl w:val="44F81FA3"/>
    <w:lvl w:ilvl="0" w:tentative="0">
      <w:start w:val="1"/>
      <w:numFmt w:val="lowerLetter"/>
      <w:lvlText w:val="%1."/>
      <w:lvlJc w:val="left"/>
      <w:pPr>
        <w:ind w:left="1440" w:hanging="360"/>
      </w:pPr>
    </w:lvl>
    <w:lvl w:ilvl="1" w:tentative="0">
      <w:start w:val="1"/>
      <w:numFmt w:val="lowerLetter"/>
      <w:lvlText w:val="%2."/>
      <w:lvlJc w:val="left"/>
      <w:pPr>
        <w:ind w:left="2160" w:hanging="360"/>
      </w:pPr>
    </w:lvl>
    <w:lvl w:ilvl="2" w:tentative="0">
      <w:start w:val="1"/>
      <w:numFmt w:val="lowerRoman"/>
      <w:lvlText w:val="%3."/>
      <w:lvlJc w:val="right"/>
      <w:pPr>
        <w:ind w:left="2880" w:hanging="180"/>
      </w:pPr>
    </w:lvl>
    <w:lvl w:ilvl="3" w:tentative="0">
      <w:start w:val="1"/>
      <w:numFmt w:val="decimal"/>
      <w:lvlText w:val="%4."/>
      <w:lvlJc w:val="left"/>
      <w:pPr>
        <w:ind w:left="3600" w:hanging="360"/>
      </w:pPr>
    </w:lvl>
    <w:lvl w:ilvl="4" w:tentative="0">
      <w:start w:val="1"/>
      <w:numFmt w:val="lowerLetter"/>
      <w:lvlText w:val="%5."/>
      <w:lvlJc w:val="left"/>
      <w:pPr>
        <w:ind w:left="4320" w:hanging="360"/>
      </w:pPr>
    </w:lvl>
    <w:lvl w:ilvl="5" w:tentative="0">
      <w:start w:val="1"/>
      <w:numFmt w:val="lowerRoman"/>
      <w:lvlText w:val="%6."/>
      <w:lvlJc w:val="right"/>
      <w:pPr>
        <w:ind w:left="5040" w:hanging="180"/>
      </w:pPr>
    </w:lvl>
    <w:lvl w:ilvl="6" w:tentative="0">
      <w:start w:val="1"/>
      <w:numFmt w:val="decimal"/>
      <w:lvlText w:val="%7."/>
      <w:lvlJc w:val="left"/>
      <w:pPr>
        <w:ind w:left="5760" w:hanging="360"/>
      </w:pPr>
    </w:lvl>
    <w:lvl w:ilvl="7" w:tentative="0">
      <w:start w:val="1"/>
      <w:numFmt w:val="lowerLetter"/>
      <w:lvlText w:val="%8."/>
      <w:lvlJc w:val="left"/>
      <w:pPr>
        <w:ind w:left="6480" w:hanging="360"/>
      </w:pPr>
    </w:lvl>
    <w:lvl w:ilvl="8" w:tentative="0">
      <w:start w:val="1"/>
      <w:numFmt w:val="lowerRoman"/>
      <w:lvlText w:val="%9."/>
      <w:lvlJc w:val="right"/>
      <w:pPr>
        <w:ind w:left="7200" w:hanging="180"/>
      </w:pPr>
    </w:lvl>
  </w:abstractNum>
  <w:abstractNum w:abstractNumId="16">
    <w:nsid w:val="4740378C"/>
    <w:multiLevelType w:val="multilevel"/>
    <w:tmpl w:val="4740378C"/>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7">
    <w:nsid w:val="47927CF9"/>
    <w:multiLevelType w:val="multilevel"/>
    <w:tmpl w:val="47927CF9"/>
    <w:lvl w:ilvl="0" w:tentative="0">
      <w:start w:val="1"/>
      <w:numFmt w:val="lowerLetter"/>
      <w:lvlText w:val="%1."/>
      <w:lvlJc w:val="left"/>
      <w:pPr>
        <w:ind w:left="1778" w:hanging="360"/>
      </w:pPr>
    </w:lvl>
    <w:lvl w:ilvl="1" w:tentative="0">
      <w:start w:val="1"/>
      <w:numFmt w:val="lowerLetter"/>
      <w:lvlText w:val="%2."/>
      <w:lvlJc w:val="left"/>
      <w:pPr>
        <w:ind w:left="2498" w:hanging="360"/>
      </w:pPr>
    </w:lvl>
    <w:lvl w:ilvl="2" w:tentative="0">
      <w:start w:val="1"/>
      <w:numFmt w:val="lowerRoman"/>
      <w:lvlText w:val="%3."/>
      <w:lvlJc w:val="right"/>
      <w:pPr>
        <w:ind w:left="3218" w:hanging="180"/>
      </w:pPr>
    </w:lvl>
    <w:lvl w:ilvl="3" w:tentative="0">
      <w:start w:val="1"/>
      <w:numFmt w:val="decimal"/>
      <w:lvlText w:val="%4."/>
      <w:lvlJc w:val="left"/>
      <w:pPr>
        <w:ind w:left="3938" w:hanging="360"/>
      </w:pPr>
    </w:lvl>
    <w:lvl w:ilvl="4" w:tentative="0">
      <w:start w:val="1"/>
      <w:numFmt w:val="lowerLetter"/>
      <w:lvlText w:val="%5."/>
      <w:lvlJc w:val="left"/>
      <w:pPr>
        <w:ind w:left="4658" w:hanging="360"/>
      </w:pPr>
    </w:lvl>
    <w:lvl w:ilvl="5" w:tentative="0">
      <w:start w:val="1"/>
      <w:numFmt w:val="lowerRoman"/>
      <w:lvlText w:val="%6."/>
      <w:lvlJc w:val="right"/>
      <w:pPr>
        <w:ind w:left="5378" w:hanging="180"/>
      </w:pPr>
    </w:lvl>
    <w:lvl w:ilvl="6" w:tentative="0">
      <w:start w:val="1"/>
      <w:numFmt w:val="decimal"/>
      <w:lvlText w:val="%7."/>
      <w:lvlJc w:val="left"/>
      <w:pPr>
        <w:ind w:left="6098" w:hanging="360"/>
      </w:pPr>
    </w:lvl>
    <w:lvl w:ilvl="7" w:tentative="0">
      <w:start w:val="1"/>
      <w:numFmt w:val="lowerLetter"/>
      <w:lvlText w:val="%8."/>
      <w:lvlJc w:val="left"/>
      <w:pPr>
        <w:ind w:left="6818" w:hanging="360"/>
      </w:pPr>
    </w:lvl>
    <w:lvl w:ilvl="8" w:tentative="0">
      <w:start w:val="1"/>
      <w:numFmt w:val="lowerRoman"/>
      <w:lvlText w:val="%9."/>
      <w:lvlJc w:val="right"/>
      <w:pPr>
        <w:ind w:left="7538" w:hanging="180"/>
      </w:pPr>
    </w:lvl>
  </w:abstractNum>
  <w:abstractNum w:abstractNumId="18">
    <w:nsid w:val="486757BB"/>
    <w:multiLevelType w:val="multilevel"/>
    <w:tmpl w:val="486757BB"/>
    <w:lvl w:ilvl="0" w:tentative="0">
      <w:start w:val="1"/>
      <w:numFmt w:val="decimal"/>
      <w:lvlText w:val="(%1)"/>
      <w:lvlJc w:val="left"/>
      <w:pPr>
        <w:ind w:left="1198" w:hanging="360"/>
      </w:pPr>
      <w:rPr>
        <w:rFonts w:hint="default"/>
      </w:rPr>
    </w:lvl>
    <w:lvl w:ilvl="1" w:tentative="0">
      <w:start w:val="1"/>
      <w:numFmt w:val="lowerLetter"/>
      <w:lvlText w:val="%2."/>
      <w:lvlJc w:val="left"/>
      <w:pPr>
        <w:ind w:left="1918" w:hanging="360"/>
      </w:pPr>
    </w:lvl>
    <w:lvl w:ilvl="2" w:tentative="0">
      <w:start w:val="1"/>
      <w:numFmt w:val="lowerRoman"/>
      <w:lvlText w:val="%3."/>
      <w:lvlJc w:val="right"/>
      <w:pPr>
        <w:ind w:left="2638" w:hanging="180"/>
      </w:pPr>
    </w:lvl>
    <w:lvl w:ilvl="3" w:tentative="0">
      <w:start w:val="1"/>
      <w:numFmt w:val="decimal"/>
      <w:lvlText w:val="%4."/>
      <w:lvlJc w:val="left"/>
      <w:pPr>
        <w:ind w:left="3358" w:hanging="360"/>
      </w:pPr>
    </w:lvl>
    <w:lvl w:ilvl="4" w:tentative="0">
      <w:start w:val="1"/>
      <w:numFmt w:val="lowerLetter"/>
      <w:lvlText w:val="%5."/>
      <w:lvlJc w:val="left"/>
      <w:pPr>
        <w:ind w:left="4078" w:hanging="360"/>
      </w:pPr>
    </w:lvl>
    <w:lvl w:ilvl="5" w:tentative="0">
      <w:start w:val="1"/>
      <w:numFmt w:val="lowerRoman"/>
      <w:lvlText w:val="%6."/>
      <w:lvlJc w:val="right"/>
      <w:pPr>
        <w:ind w:left="4798" w:hanging="180"/>
      </w:pPr>
    </w:lvl>
    <w:lvl w:ilvl="6" w:tentative="0">
      <w:start w:val="1"/>
      <w:numFmt w:val="decimal"/>
      <w:lvlText w:val="%7."/>
      <w:lvlJc w:val="left"/>
      <w:pPr>
        <w:ind w:left="5518" w:hanging="360"/>
      </w:pPr>
    </w:lvl>
    <w:lvl w:ilvl="7" w:tentative="0">
      <w:start w:val="1"/>
      <w:numFmt w:val="lowerLetter"/>
      <w:lvlText w:val="%8."/>
      <w:lvlJc w:val="left"/>
      <w:pPr>
        <w:ind w:left="6238" w:hanging="360"/>
      </w:pPr>
    </w:lvl>
    <w:lvl w:ilvl="8" w:tentative="0">
      <w:start w:val="1"/>
      <w:numFmt w:val="lowerRoman"/>
      <w:lvlText w:val="%9."/>
      <w:lvlJc w:val="right"/>
      <w:pPr>
        <w:ind w:left="6958" w:hanging="180"/>
      </w:pPr>
    </w:lvl>
  </w:abstractNum>
  <w:abstractNum w:abstractNumId="19">
    <w:nsid w:val="49910E9B"/>
    <w:multiLevelType w:val="multilevel"/>
    <w:tmpl w:val="49910E9B"/>
    <w:lvl w:ilvl="0" w:tentative="0">
      <w:start w:val="1"/>
      <w:numFmt w:val="lowerLetter"/>
      <w:lvlText w:val="%1."/>
      <w:lvlJc w:val="left"/>
      <w:pPr>
        <w:ind w:left="1440" w:hanging="360"/>
      </w:pPr>
    </w:lvl>
    <w:lvl w:ilvl="1" w:tentative="0">
      <w:start w:val="1"/>
      <w:numFmt w:val="lowerLetter"/>
      <w:lvlText w:val="%2."/>
      <w:lvlJc w:val="left"/>
      <w:pPr>
        <w:ind w:left="2160" w:hanging="360"/>
      </w:pPr>
    </w:lvl>
    <w:lvl w:ilvl="2" w:tentative="0">
      <w:start w:val="1"/>
      <w:numFmt w:val="lowerRoman"/>
      <w:lvlText w:val="%3."/>
      <w:lvlJc w:val="right"/>
      <w:pPr>
        <w:ind w:left="2880" w:hanging="180"/>
      </w:pPr>
    </w:lvl>
    <w:lvl w:ilvl="3" w:tentative="0">
      <w:start w:val="1"/>
      <w:numFmt w:val="decimal"/>
      <w:lvlText w:val="%4."/>
      <w:lvlJc w:val="left"/>
      <w:pPr>
        <w:ind w:left="3600" w:hanging="360"/>
      </w:pPr>
    </w:lvl>
    <w:lvl w:ilvl="4" w:tentative="0">
      <w:start w:val="1"/>
      <w:numFmt w:val="lowerLetter"/>
      <w:lvlText w:val="%5."/>
      <w:lvlJc w:val="left"/>
      <w:pPr>
        <w:ind w:left="4320" w:hanging="360"/>
      </w:pPr>
    </w:lvl>
    <w:lvl w:ilvl="5" w:tentative="0">
      <w:start w:val="1"/>
      <w:numFmt w:val="lowerRoman"/>
      <w:lvlText w:val="%6."/>
      <w:lvlJc w:val="right"/>
      <w:pPr>
        <w:ind w:left="5040" w:hanging="180"/>
      </w:pPr>
    </w:lvl>
    <w:lvl w:ilvl="6" w:tentative="0">
      <w:start w:val="1"/>
      <w:numFmt w:val="decimal"/>
      <w:lvlText w:val="%7."/>
      <w:lvlJc w:val="left"/>
      <w:pPr>
        <w:ind w:left="5760" w:hanging="360"/>
      </w:pPr>
    </w:lvl>
    <w:lvl w:ilvl="7" w:tentative="0">
      <w:start w:val="1"/>
      <w:numFmt w:val="lowerLetter"/>
      <w:lvlText w:val="%8."/>
      <w:lvlJc w:val="left"/>
      <w:pPr>
        <w:ind w:left="6480" w:hanging="360"/>
      </w:pPr>
    </w:lvl>
    <w:lvl w:ilvl="8" w:tentative="0">
      <w:start w:val="1"/>
      <w:numFmt w:val="lowerRoman"/>
      <w:lvlText w:val="%9."/>
      <w:lvlJc w:val="right"/>
      <w:pPr>
        <w:ind w:left="7200" w:hanging="180"/>
      </w:pPr>
    </w:lvl>
  </w:abstractNum>
  <w:abstractNum w:abstractNumId="20">
    <w:nsid w:val="4BC576CA"/>
    <w:multiLevelType w:val="multilevel"/>
    <w:tmpl w:val="4BC576CA"/>
    <w:lvl w:ilvl="0" w:tentative="0">
      <w:start w:val="1"/>
      <w:numFmt w:val="lowerLetter"/>
      <w:lvlText w:val="%1."/>
      <w:lvlJc w:val="left"/>
      <w:pPr>
        <w:ind w:left="1778" w:hanging="360"/>
      </w:pPr>
    </w:lvl>
    <w:lvl w:ilvl="1" w:tentative="0">
      <w:start w:val="1"/>
      <w:numFmt w:val="lowerLetter"/>
      <w:lvlText w:val="%2."/>
      <w:lvlJc w:val="left"/>
      <w:pPr>
        <w:ind w:left="2498" w:hanging="360"/>
      </w:pPr>
    </w:lvl>
    <w:lvl w:ilvl="2" w:tentative="0">
      <w:start w:val="1"/>
      <w:numFmt w:val="lowerRoman"/>
      <w:lvlText w:val="%3."/>
      <w:lvlJc w:val="right"/>
      <w:pPr>
        <w:ind w:left="3218" w:hanging="180"/>
      </w:pPr>
    </w:lvl>
    <w:lvl w:ilvl="3" w:tentative="0">
      <w:start w:val="1"/>
      <w:numFmt w:val="decimal"/>
      <w:lvlText w:val="%4."/>
      <w:lvlJc w:val="left"/>
      <w:pPr>
        <w:ind w:left="3938" w:hanging="360"/>
      </w:pPr>
    </w:lvl>
    <w:lvl w:ilvl="4" w:tentative="0">
      <w:start w:val="1"/>
      <w:numFmt w:val="lowerLetter"/>
      <w:lvlText w:val="%5."/>
      <w:lvlJc w:val="left"/>
      <w:pPr>
        <w:ind w:left="4658" w:hanging="360"/>
      </w:pPr>
    </w:lvl>
    <w:lvl w:ilvl="5" w:tentative="0">
      <w:start w:val="1"/>
      <w:numFmt w:val="lowerRoman"/>
      <w:lvlText w:val="%6."/>
      <w:lvlJc w:val="right"/>
      <w:pPr>
        <w:ind w:left="5378" w:hanging="180"/>
      </w:pPr>
    </w:lvl>
    <w:lvl w:ilvl="6" w:tentative="0">
      <w:start w:val="1"/>
      <w:numFmt w:val="decimal"/>
      <w:lvlText w:val="%7."/>
      <w:lvlJc w:val="left"/>
      <w:pPr>
        <w:ind w:left="6098" w:hanging="360"/>
      </w:pPr>
    </w:lvl>
    <w:lvl w:ilvl="7" w:tentative="0">
      <w:start w:val="1"/>
      <w:numFmt w:val="lowerLetter"/>
      <w:lvlText w:val="%8."/>
      <w:lvlJc w:val="left"/>
      <w:pPr>
        <w:ind w:left="6818" w:hanging="360"/>
      </w:pPr>
    </w:lvl>
    <w:lvl w:ilvl="8" w:tentative="0">
      <w:start w:val="1"/>
      <w:numFmt w:val="lowerRoman"/>
      <w:lvlText w:val="%9."/>
      <w:lvlJc w:val="right"/>
      <w:pPr>
        <w:ind w:left="7538" w:hanging="180"/>
      </w:pPr>
    </w:lvl>
  </w:abstractNum>
  <w:abstractNum w:abstractNumId="21">
    <w:nsid w:val="4EF5424C"/>
    <w:multiLevelType w:val="multilevel"/>
    <w:tmpl w:val="4EF5424C"/>
    <w:lvl w:ilvl="0" w:tentative="0">
      <w:start w:val="1"/>
      <w:numFmt w:val="bullet"/>
      <w:lvlText w:val=""/>
      <w:lvlJc w:val="left"/>
      <w:pPr>
        <w:ind w:left="1682" w:hanging="360"/>
      </w:pPr>
      <w:rPr>
        <w:rFonts w:hint="default" w:ascii="Symbol" w:hAnsi="Symbol"/>
      </w:rPr>
    </w:lvl>
    <w:lvl w:ilvl="1" w:tentative="0">
      <w:start w:val="1"/>
      <w:numFmt w:val="bullet"/>
      <w:lvlText w:val="o"/>
      <w:lvlJc w:val="left"/>
      <w:pPr>
        <w:ind w:left="2402" w:hanging="360"/>
      </w:pPr>
      <w:rPr>
        <w:rFonts w:hint="default" w:ascii="Courier New" w:hAnsi="Courier New" w:cs="Courier New"/>
      </w:rPr>
    </w:lvl>
    <w:lvl w:ilvl="2" w:tentative="0">
      <w:start w:val="1"/>
      <w:numFmt w:val="bullet"/>
      <w:lvlText w:val=""/>
      <w:lvlJc w:val="left"/>
      <w:pPr>
        <w:ind w:left="3122" w:hanging="360"/>
      </w:pPr>
      <w:rPr>
        <w:rFonts w:hint="default" w:ascii="Wingdings" w:hAnsi="Wingdings"/>
      </w:rPr>
    </w:lvl>
    <w:lvl w:ilvl="3" w:tentative="0">
      <w:start w:val="1"/>
      <w:numFmt w:val="bullet"/>
      <w:lvlText w:val=""/>
      <w:lvlJc w:val="left"/>
      <w:pPr>
        <w:ind w:left="3842" w:hanging="360"/>
      </w:pPr>
      <w:rPr>
        <w:rFonts w:hint="default" w:ascii="Symbol" w:hAnsi="Symbol"/>
      </w:rPr>
    </w:lvl>
    <w:lvl w:ilvl="4" w:tentative="0">
      <w:start w:val="1"/>
      <w:numFmt w:val="bullet"/>
      <w:lvlText w:val="o"/>
      <w:lvlJc w:val="left"/>
      <w:pPr>
        <w:ind w:left="4562" w:hanging="360"/>
      </w:pPr>
      <w:rPr>
        <w:rFonts w:hint="default" w:ascii="Courier New" w:hAnsi="Courier New" w:cs="Courier New"/>
      </w:rPr>
    </w:lvl>
    <w:lvl w:ilvl="5" w:tentative="0">
      <w:start w:val="1"/>
      <w:numFmt w:val="bullet"/>
      <w:lvlText w:val=""/>
      <w:lvlJc w:val="left"/>
      <w:pPr>
        <w:ind w:left="5282" w:hanging="360"/>
      </w:pPr>
      <w:rPr>
        <w:rFonts w:hint="default" w:ascii="Wingdings" w:hAnsi="Wingdings"/>
      </w:rPr>
    </w:lvl>
    <w:lvl w:ilvl="6" w:tentative="0">
      <w:start w:val="1"/>
      <w:numFmt w:val="bullet"/>
      <w:lvlText w:val=""/>
      <w:lvlJc w:val="left"/>
      <w:pPr>
        <w:ind w:left="6002" w:hanging="360"/>
      </w:pPr>
      <w:rPr>
        <w:rFonts w:hint="default" w:ascii="Symbol" w:hAnsi="Symbol"/>
      </w:rPr>
    </w:lvl>
    <w:lvl w:ilvl="7" w:tentative="0">
      <w:start w:val="1"/>
      <w:numFmt w:val="bullet"/>
      <w:lvlText w:val="o"/>
      <w:lvlJc w:val="left"/>
      <w:pPr>
        <w:ind w:left="6722" w:hanging="360"/>
      </w:pPr>
      <w:rPr>
        <w:rFonts w:hint="default" w:ascii="Courier New" w:hAnsi="Courier New" w:cs="Courier New"/>
      </w:rPr>
    </w:lvl>
    <w:lvl w:ilvl="8" w:tentative="0">
      <w:start w:val="1"/>
      <w:numFmt w:val="bullet"/>
      <w:lvlText w:val=""/>
      <w:lvlJc w:val="left"/>
      <w:pPr>
        <w:ind w:left="7442" w:hanging="360"/>
      </w:pPr>
      <w:rPr>
        <w:rFonts w:hint="default" w:ascii="Wingdings" w:hAnsi="Wingdings"/>
      </w:rPr>
    </w:lvl>
  </w:abstractNum>
  <w:abstractNum w:abstractNumId="22">
    <w:nsid w:val="4F18242A"/>
    <w:multiLevelType w:val="multilevel"/>
    <w:tmpl w:val="4F18242A"/>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3">
    <w:nsid w:val="4F633D4A"/>
    <w:multiLevelType w:val="multilevel"/>
    <w:tmpl w:val="4F633D4A"/>
    <w:lvl w:ilvl="0" w:tentative="0">
      <w:start w:val="1"/>
      <w:numFmt w:val="lowerLetter"/>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4">
    <w:nsid w:val="58D119EA"/>
    <w:multiLevelType w:val="multilevel"/>
    <w:tmpl w:val="58D119EA"/>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5">
    <w:nsid w:val="5A8D1CCF"/>
    <w:multiLevelType w:val="multilevel"/>
    <w:tmpl w:val="5A8D1CCF"/>
    <w:lvl w:ilvl="0" w:tentative="0">
      <w:start w:val="1"/>
      <w:numFmt w:val="lowerLetter"/>
      <w:lvlText w:val="%1."/>
      <w:lvlJc w:val="left"/>
      <w:pPr>
        <w:ind w:left="1440" w:hanging="360"/>
      </w:pPr>
    </w:lvl>
    <w:lvl w:ilvl="1" w:tentative="0">
      <w:start w:val="1"/>
      <w:numFmt w:val="lowerLetter"/>
      <w:lvlText w:val="%2."/>
      <w:lvlJc w:val="left"/>
      <w:pPr>
        <w:ind w:left="2160" w:hanging="360"/>
      </w:pPr>
    </w:lvl>
    <w:lvl w:ilvl="2" w:tentative="0">
      <w:start w:val="1"/>
      <w:numFmt w:val="lowerRoman"/>
      <w:lvlText w:val="%3."/>
      <w:lvlJc w:val="right"/>
      <w:pPr>
        <w:ind w:left="2880" w:hanging="180"/>
      </w:pPr>
    </w:lvl>
    <w:lvl w:ilvl="3" w:tentative="0">
      <w:start w:val="1"/>
      <w:numFmt w:val="decimal"/>
      <w:lvlText w:val="%4."/>
      <w:lvlJc w:val="left"/>
      <w:pPr>
        <w:ind w:left="3600" w:hanging="360"/>
      </w:pPr>
    </w:lvl>
    <w:lvl w:ilvl="4" w:tentative="0">
      <w:start w:val="1"/>
      <w:numFmt w:val="lowerLetter"/>
      <w:lvlText w:val="%5."/>
      <w:lvlJc w:val="left"/>
      <w:pPr>
        <w:ind w:left="4320" w:hanging="360"/>
      </w:pPr>
    </w:lvl>
    <w:lvl w:ilvl="5" w:tentative="0">
      <w:start w:val="1"/>
      <w:numFmt w:val="lowerRoman"/>
      <w:lvlText w:val="%6."/>
      <w:lvlJc w:val="right"/>
      <w:pPr>
        <w:ind w:left="5040" w:hanging="180"/>
      </w:pPr>
    </w:lvl>
    <w:lvl w:ilvl="6" w:tentative="0">
      <w:start w:val="1"/>
      <w:numFmt w:val="decimal"/>
      <w:lvlText w:val="%7."/>
      <w:lvlJc w:val="left"/>
      <w:pPr>
        <w:ind w:left="5760" w:hanging="360"/>
      </w:pPr>
    </w:lvl>
    <w:lvl w:ilvl="7" w:tentative="0">
      <w:start w:val="1"/>
      <w:numFmt w:val="lowerLetter"/>
      <w:lvlText w:val="%8."/>
      <w:lvlJc w:val="left"/>
      <w:pPr>
        <w:ind w:left="6480" w:hanging="360"/>
      </w:pPr>
    </w:lvl>
    <w:lvl w:ilvl="8" w:tentative="0">
      <w:start w:val="1"/>
      <w:numFmt w:val="lowerRoman"/>
      <w:lvlText w:val="%9."/>
      <w:lvlJc w:val="right"/>
      <w:pPr>
        <w:ind w:left="7200" w:hanging="180"/>
      </w:pPr>
    </w:lvl>
  </w:abstractNum>
  <w:abstractNum w:abstractNumId="26">
    <w:nsid w:val="5C8470C6"/>
    <w:multiLevelType w:val="multilevel"/>
    <w:tmpl w:val="5C8470C6"/>
    <w:lvl w:ilvl="0" w:tentative="0">
      <w:start w:val="1"/>
      <w:numFmt w:val="lowerLetter"/>
      <w:lvlText w:val="%1."/>
      <w:lvlJc w:val="left"/>
      <w:pPr>
        <w:ind w:left="1440" w:hanging="360"/>
      </w:pPr>
    </w:lvl>
    <w:lvl w:ilvl="1" w:tentative="0">
      <w:start w:val="1"/>
      <w:numFmt w:val="lowerLetter"/>
      <w:lvlText w:val="%2."/>
      <w:lvlJc w:val="left"/>
      <w:pPr>
        <w:ind w:left="2160" w:hanging="360"/>
      </w:pPr>
    </w:lvl>
    <w:lvl w:ilvl="2" w:tentative="0">
      <w:start w:val="1"/>
      <w:numFmt w:val="lowerRoman"/>
      <w:lvlText w:val="%3."/>
      <w:lvlJc w:val="right"/>
      <w:pPr>
        <w:ind w:left="2880" w:hanging="180"/>
      </w:pPr>
    </w:lvl>
    <w:lvl w:ilvl="3" w:tentative="0">
      <w:start w:val="1"/>
      <w:numFmt w:val="decimal"/>
      <w:lvlText w:val="%4."/>
      <w:lvlJc w:val="left"/>
      <w:pPr>
        <w:ind w:left="3600" w:hanging="360"/>
      </w:pPr>
    </w:lvl>
    <w:lvl w:ilvl="4" w:tentative="0">
      <w:start w:val="1"/>
      <w:numFmt w:val="lowerLetter"/>
      <w:lvlText w:val="%5."/>
      <w:lvlJc w:val="left"/>
      <w:pPr>
        <w:ind w:left="4320" w:hanging="360"/>
      </w:pPr>
    </w:lvl>
    <w:lvl w:ilvl="5" w:tentative="0">
      <w:start w:val="1"/>
      <w:numFmt w:val="lowerRoman"/>
      <w:lvlText w:val="%6."/>
      <w:lvlJc w:val="right"/>
      <w:pPr>
        <w:ind w:left="5040" w:hanging="180"/>
      </w:pPr>
    </w:lvl>
    <w:lvl w:ilvl="6" w:tentative="0">
      <w:start w:val="1"/>
      <w:numFmt w:val="decimal"/>
      <w:lvlText w:val="%7."/>
      <w:lvlJc w:val="left"/>
      <w:pPr>
        <w:ind w:left="5760" w:hanging="360"/>
      </w:pPr>
    </w:lvl>
    <w:lvl w:ilvl="7" w:tentative="0">
      <w:start w:val="1"/>
      <w:numFmt w:val="lowerLetter"/>
      <w:lvlText w:val="%8."/>
      <w:lvlJc w:val="left"/>
      <w:pPr>
        <w:ind w:left="6480" w:hanging="360"/>
      </w:pPr>
    </w:lvl>
    <w:lvl w:ilvl="8" w:tentative="0">
      <w:start w:val="1"/>
      <w:numFmt w:val="lowerRoman"/>
      <w:lvlText w:val="%9."/>
      <w:lvlJc w:val="right"/>
      <w:pPr>
        <w:ind w:left="7200" w:hanging="180"/>
      </w:pPr>
    </w:lvl>
  </w:abstractNum>
  <w:abstractNum w:abstractNumId="27">
    <w:nsid w:val="5D205DC7"/>
    <w:multiLevelType w:val="multilevel"/>
    <w:tmpl w:val="5D205DC7"/>
    <w:lvl w:ilvl="0" w:tentative="0">
      <w:start w:val="1"/>
      <w:numFmt w:val="decimal"/>
      <w:lvlText w:val="%1."/>
      <w:lvlJc w:val="left"/>
      <w:pPr>
        <w:ind w:left="1778" w:hanging="360"/>
      </w:pPr>
    </w:lvl>
    <w:lvl w:ilvl="1" w:tentative="0">
      <w:start w:val="1"/>
      <w:numFmt w:val="lowerLetter"/>
      <w:lvlText w:val="%2."/>
      <w:lvlJc w:val="left"/>
      <w:pPr>
        <w:ind w:left="2498" w:hanging="360"/>
      </w:pPr>
    </w:lvl>
    <w:lvl w:ilvl="2" w:tentative="0">
      <w:start w:val="1"/>
      <w:numFmt w:val="lowerRoman"/>
      <w:lvlText w:val="%3."/>
      <w:lvlJc w:val="right"/>
      <w:pPr>
        <w:ind w:left="3218" w:hanging="180"/>
      </w:pPr>
    </w:lvl>
    <w:lvl w:ilvl="3" w:tentative="0">
      <w:start w:val="1"/>
      <w:numFmt w:val="decimal"/>
      <w:lvlText w:val="%4."/>
      <w:lvlJc w:val="left"/>
      <w:pPr>
        <w:ind w:left="3938" w:hanging="360"/>
      </w:pPr>
    </w:lvl>
    <w:lvl w:ilvl="4" w:tentative="0">
      <w:start w:val="1"/>
      <w:numFmt w:val="lowerLetter"/>
      <w:lvlText w:val="%5."/>
      <w:lvlJc w:val="left"/>
      <w:pPr>
        <w:ind w:left="4658" w:hanging="360"/>
      </w:pPr>
    </w:lvl>
    <w:lvl w:ilvl="5" w:tentative="0">
      <w:start w:val="1"/>
      <w:numFmt w:val="lowerRoman"/>
      <w:lvlText w:val="%6."/>
      <w:lvlJc w:val="right"/>
      <w:pPr>
        <w:ind w:left="5378" w:hanging="180"/>
      </w:pPr>
    </w:lvl>
    <w:lvl w:ilvl="6" w:tentative="0">
      <w:start w:val="1"/>
      <w:numFmt w:val="decimal"/>
      <w:lvlText w:val="%7."/>
      <w:lvlJc w:val="left"/>
      <w:pPr>
        <w:ind w:left="6098" w:hanging="360"/>
      </w:pPr>
    </w:lvl>
    <w:lvl w:ilvl="7" w:tentative="0">
      <w:start w:val="1"/>
      <w:numFmt w:val="lowerLetter"/>
      <w:lvlText w:val="%8."/>
      <w:lvlJc w:val="left"/>
      <w:pPr>
        <w:ind w:left="6818" w:hanging="360"/>
      </w:pPr>
    </w:lvl>
    <w:lvl w:ilvl="8" w:tentative="0">
      <w:start w:val="1"/>
      <w:numFmt w:val="lowerRoman"/>
      <w:lvlText w:val="%9."/>
      <w:lvlJc w:val="right"/>
      <w:pPr>
        <w:ind w:left="7538" w:hanging="180"/>
      </w:pPr>
    </w:lvl>
  </w:abstractNum>
  <w:abstractNum w:abstractNumId="28">
    <w:nsid w:val="5F116730"/>
    <w:multiLevelType w:val="multilevel"/>
    <w:tmpl w:val="5F116730"/>
    <w:lvl w:ilvl="0" w:tentative="0">
      <w:start w:val="1"/>
      <w:numFmt w:val="lowerLetter"/>
      <w:lvlText w:val="%1."/>
      <w:lvlJc w:val="left"/>
      <w:pPr>
        <w:ind w:left="1440" w:hanging="360"/>
      </w:pPr>
    </w:lvl>
    <w:lvl w:ilvl="1" w:tentative="0">
      <w:start w:val="1"/>
      <w:numFmt w:val="lowerLetter"/>
      <w:lvlText w:val="%2."/>
      <w:lvlJc w:val="left"/>
      <w:pPr>
        <w:ind w:left="2160" w:hanging="360"/>
      </w:pPr>
    </w:lvl>
    <w:lvl w:ilvl="2" w:tentative="0">
      <w:start w:val="1"/>
      <w:numFmt w:val="lowerRoman"/>
      <w:lvlText w:val="%3."/>
      <w:lvlJc w:val="right"/>
      <w:pPr>
        <w:ind w:left="2880" w:hanging="180"/>
      </w:pPr>
    </w:lvl>
    <w:lvl w:ilvl="3" w:tentative="0">
      <w:start w:val="1"/>
      <w:numFmt w:val="decimal"/>
      <w:lvlText w:val="%4."/>
      <w:lvlJc w:val="left"/>
      <w:pPr>
        <w:ind w:left="3600" w:hanging="360"/>
      </w:pPr>
    </w:lvl>
    <w:lvl w:ilvl="4" w:tentative="0">
      <w:start w:val="1"/>
      <w:numFmt w:val="lowerLetter"/>
      <w:lvlText w:val="%5."/>
      <w:lvlJc w:val="left"/>
      <w:pPr>
        <w:ind w:left="4320" w:hanging="360"/>
      </w:pPr>
    </w:lvl>
    <w:lvl w:ilvl="5" w:tentative="0">
      <w:start w:val="1"/>
      <w:numFmt w:val="lowerRoman"/>
      <w:lvlText w:val="%6."/>
      <w:lvlJc w:val="right"/>
      <w:pPr>
        <w:ind w:left="5040" w:hanging="180"/>
      </w:pPr>
    </w:lvl>
    <w:lvl w:ilvl="6" w:tentative="0">
      <w:start w:val="1"/>
      <w:numFmt w:val="decimal"/>
      <w:lvlText w:val="%7."/>
      <w:lvlJc w:val="left"/>
      <w:pPr>
        <w:ind w:left="5760" w:hanging="360"/>
      </w:pPr>
    </w:lvl>
    <w:lvl w:ilvl="7" w:tentative="0">
      <w:start w:val="1"/>
      <w:numFmt w:val="lowerLetter"/>
      <w:lvlText w:val="%8."/>
      <w:lvlJc w:val="left"/>
      <w:pPr>
        <w:ind w:left="6480" w:hanging="360"/>
      </w:pPr>
    </w:lvl>
    <w:lvl w:ilvl="8" w:tentative="0">
      <w:start w:val="1"/>
      <w:numFmt w:val="lowerRoman"/>
      <w:lvlText w:val="%9."/>
      <w:lvlJc w:val="right"/>
      <w:pPr>
        <w:ind w:left="7200" w:hanging="180"/>
      </w:pPr>
    </w:lvl>
  </w:abstractNum>
  <w:abstractNum w:abstractNumId="29">
    <w:nsid w:val="5FC72DDC"/>
    <w:multiLevelType w:val="multilevel"/>
    <w:tmpl w:val="5FC72DDC"/>
    <w:lvl w:ilvl="0" w:tentative="0">
      <w:start w:val="1"/>
      <w:numFmt w:val="decimal"/>
      <w:lvlText w:val="(%1)"/>
      <w:lvlJc w:val="left"/>
      <w:pPr>
        <w:ind w:left="1440" w:hanging="360"/>
      </w:pPr>
      <w:rPr>
        <w:rFonts w:hint="default"/>
      </w:rPr>
    </w:lvl>
    <w:lvl w:ilvl="1" w:tentative="0">
      <w:start w:val="1"/>
      <w:numFmt w:val="lowerLetter"/>
      <w:lvlText w:val="%2."/>
      <w:lvlJc w:val="left"/>
      <w:pPr>
        <w:ind w:left="2160" w:hanging="360"/>
      </w:pPr>
    </w:lvl>
    <w:lvl w:ilvl="2" w:tentative="0">
      <w:start w:val="1"/>
      <w:numFmt w:val="lowerRoman"/>
      <w:lvlText w:val="%3."/>
      <w:lvlJc w:val="right"/>
      <w:pPr>
        <w:ind w:left="2880" w:hanging="180"/>
      </w:pPr>
    </w:lvl>
    <w:lvl w:ilvl="3" w:tentative="0">
      <w:start w:val="1"/>
      <w:numFmt w:val="decimal"/>
      <w:lvlText w:val="%4."/>
      <w:lvlJc w:val="left"/>
      <w:pPr>
        <w:ind w:left="3600" w:hanging="360"/>
      </w:pPr>
    </w:lvl>
    <w:lvl w:ilvl="4" w:tentative="0">
      <w:start w:val="1"/>
      <w:numFmt w:val="lowerLetter"/>
      <w:lvlText w:val="%5."/>
      <w:lvlJc w:val="left"/>
      <w:pPr>
        <w:ind w:left="4320" w:hanging="360"/>
      </w:pPr>
    </w:lvl>
    <w:lvl w:ilvl="5" w:tentative="0">
      <w:start w:val="1"/>
      <w:numFmt w:val="lowerRoman"/>
      <w:lvlText w:val="%6."/>
      <w:lvlJc w:val="right"/>
      <w:pPr>
        <w:ind w:left="5040" w:hanging="180"/>
      </w:pPr>
    </w:lvl>
    <w:lvl w:ilvl="6" w:tentative="0">
      <w:start w:val="1"/>
      <w:numFmt w:val="decimal"/>
      <w:lvlText w:val="%7."/>
      <w:lvlJc w:val="left"/>
      <w:pPr>
        <w:ind w:left="5760" w:hanging="360"/>
      </w:pPr>
    </w:lvl>
    <w:lvl w:ilvl="7" w:tentative="0">
      <w:start w:val="1"/>
      <w:numFmt w:val="lowerLetter"/>
      <w:lvlText w:val="%8."/>
      <w:lvlJc w:val="left"/>
      <w:pPr>
        <w:ind w:left="6480" w:hanging="360"/>
      </w:pPr>
    </w:lvl>
    <w:lvl w:ilvl="8" w:tentative="0">
      <w:start w:val="1"/>
      <w:numFmt w:val="lowerRoman"/>
      <w:lvlText w:val="%9."/>
      <w:lvlJc w:val="right"/>
      <w:pPr>
        <w:ind w:left="7200" w:hanging="180"/>
      </w:pPr>
    </w:lvl>
  </w:abstractNum>
  <w:abstractNum w:abstractNumId="30">
    <w:nsid w:val="638B2493"/>
    <w:multiLevelType w:val="multilevel"/>
    <w:tmpl w:val="638B2493"/>
    <w:lvl w:ilvl="0" w:tentative="0">
      <w:start w:val="1"/>
      <w:numFmt w:val="lowerLetter"/>
      <w:lvlText w:val="%1."/>
      <w:lvlJc w:val="left"/>
      <w:pPr>
        <w:ind w:left="1800" w:hanging="360"/>
      </w:pPr>
    </w:lvl>
    <w:lvl w:ilvl="1" w:tentative="0">
      <w:start w:val="1"/>
      <w:numFmt w:val="lowerLetter"/>
      <w:lvlText w:val="%2."/>
      <w:lvlJc w:val="left"/>
      <w:pPr>
        <w:ind w:left="2520" w:hanging="360"/>
      </w:pPr>
    </w:lvl>
    <w:lvl w:ilvl="2" w:tentative="0">
      <w:start w:val="1"/>
      <w:numFmt w:val="lowerRoman"/>
      <w:lvlText w:val="%3."/>
      <w:lvlJc w:val="right"/>
      <w:pPr>
        <w:ind w:left="3240" w:hanging="180"/>
      </w:pPr>
    </w:lvl>
    <w:lvl w:ilvl="3" w:tentative="0">
      <w:start w:val="1"/>
      <w:numFmt w:val="decimal"/>
      <w:lvlText w:val="%4."/>
      <w:lvlJc w:val="left"/>
      <w:pPr>
        <w:ind w:left="3960" w:hanging="360"/>
      </w:pPr>
    </w:lvl>
    <w:lvl w:ilvl="4" w:tentative="0">
      <w:start w:val="1"/>
      <w:numFmt w:val="lowerLetter"/>
      <w:lvlText w:val="%5."/>
      <w:lvlJc w:val="left"/>
      <w:pPr>
        <w:ind w:left="4680" w:hanging="360"/>
      </w:pPr>
    </w:lvl>
    <w:lvl w:ilvl="5" w:tentative="0">
      <w:start w:val="1"/>
      <w:numFmt w:val="lowerRoman"/>
      <w:lvlText w:val="%6."/>
      <w:lvlJc w:val="right"/>
      <w:pPr>
        <w:ind w:left="5400" w:hanging="180"/>
      </w:pPr>
    </w:lvl>
    <w:lvl w:ilvl="6" w:tentative="0">
      <w:start w:val="1"/>
      <w:numFmt w:val="decimal"/>
      <w:lvlText w:val="%7."/>
      <w:lvlJc w:val="left"/>
      <w:pPr>
        <w:ind w:left="6120" w:hanging="360"/>
      </w:pPr>
    </w:lvl>
    <w:lvl w:ilvl="7" w:tentative="0">
      <w:start w:val="1"/>
      <w:numFmt w:val="lowerLetter"/>
      <w:lvlText w:val="%8."/>
      <w:lvlJc w:val="left"/>
      <w:pPr>
        <w:ind w:left="6840" w:hanging="360"/>
      </w:pPr>
    </w:lvl>
    <w:lvl w:ilvl="8" w:tentative="0">
      <w:start w:val="1"/>
      <w:numFmt w:val="lowerRoman"/>
      <w:lvlText w:val="%9."/>
      <w:lvlJc w:val="right"/>
      <w:pPr>
        <w:ind w:left="7560" w:hanging="180"/>
      </w:pPr>
    </w:lvl>
  </w:abstractNum>
  <w:abstractNum w:abstractNumId="31">
    <w:nsid w:val="63D82152"/>
    <w:multiLevelType w:val="multilevel"/>
    <w:tmpl w:val="63D82152"/>
    <w:lvl w:ilvl="0" w:tentative="0">
      <w:start w:val="1"/>
      <w:numFmt w:val="lowerLetter"/>
      <w:lvlText w:val="%1."/>
      <w:lvlJc w:val="left"/>
      <w:pPr>
        <w:ind w:left="1800" w:hanging="360"/>
      </w:pPr>
    </w:lvl>
    <w:lvl w:ilvl="1" w:tentative="0">
      <w:start w:val="1"/>
      <w:numFmt w:val="lowerLetter"/>
      <w:lvlText w:val="%2."/>
      <w:lvlJc w:val="left"/>
      <w:pPr>
        <w:ind w:left="2520" w:hanging="360"/>
      </w:pPr>
    </w:lvl>
    <w:lvl w:ilvl="2" w:tentative="0">
      <w:start w:val="1"/>
      <w:numFmt w:val="lowerRoman"/>
      <w:lvlText w:val="%3."/>
      <w:lvlJc w:val="right"/>
      <w:pPr>
        <w:ind w:left="3240" w:hanging="180"/>
      </w:pPr>
    </w:lvl>
    <w:lvl w:ilvl="3" w:tentative="0">
      <w:start w:val="1"/>
      <w:numFmt w:val="decimal"/>
      <w:lvlText w:val="%4."/>
      <w:lvlJc w:val="left"/>
      <w:pPr>
        <w:ind w:left="3960" w:hanging="360"/>
      </w:pPr>
    </w:lvl>
    <w:lvl w:ilvl="4" w:tentative="0">
      <w:start w:val="1"/>
      <w:numFmt w:val="lowerLetter"/>
      <w:lvlText w:val="%5."/>
      <w:lvlJc w:val="left"/>
      <w:pPr>
        <w:ind w:left="4680" w:hanging="360"/>
      </w:pPr>
    </w:lvl>
    <w:lvl w:ilvl="5" w:tentative="0">
      <w:start w:val="1"/>
      <w:numFmt w:val="lowerRoman"/>
      <w:lvlText w:val="%6."/>
      <w:lvlJc w:val="right"/>
      <w:pPr>
        <w:ind w:left="5400" w:hanging="180"/>
      </w:pPr>
    </w:lvl>
    <w:lvl w:ilvl="6" w:tentative="0">
      <w:start w:val="1"/>
      <w:numFmt w:val="decimal"/>
      <w:lvlText w:val="%7."/>
      <w:lvlJc w:val="left"/>
      <w:pPr>
        <w:ind w:left="6120" w:hanging="360"/>
      </w:pPr>
    </w:lvl>
    <w:lvl w:ilvl="7" w:tentative="0">
      <w:start w:val="1"/>
      <w:numFmt w:val="lowerLetter"/>
      <w:lvlText w:val="%8."/>
      <w:lvlJc w:val="left"/>
      <w:pPr>
        <w:ind w:left="6840" w:hanging="360"/>
      </w:pPr>
    </w:lvl>
    <w:lvl w:ilvl="8" w:tentative="0">
      <w:start w:val="1"/>
      <w:numFmt w:val="lowerRoman"/>
      <w:lvlText w:val="%9."/>
      <w:lvlJc w:val="right"/>
      <w:pPr>
        <w:ind w:left="7560" w:hanging="180"/>
      </w:pPr>
    </w:lvl>
  </w:abstractNum>
  <w:abstractNum w:abstractNumId="32">
    <w:nsid w:val="6AD95F32"/>
    <w:multiLevelType w:val="multilevel"/>
    <w:tmpl w:val="6AD95F32"/>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3">
    <w:nsid w:val="6B75288E"/>
    <w:multiLevelType w:val="multilevel"/>
    <w:tmpl w:val="6B75288E"/>
    <w:lvl w:ilvl="0" w:tentative="0">
      <w:start w:val="1"/>
      <w:numFmt w:val="decimal"/>
      <w:lvlText w:val="(%1)"/>
      <w:lvlJc w:val="left"/>
      <w:pPr>
        <w:ind w:left="1080" w:hanging="360"/>
      </w:pPr>
      <w:rPr>
        <w:rFonts w:hint="default"/>
      </w:rPr>
    </w:lvl>
    <w:lvl w:ilvl="1" w:tentative="0">
      <w:start w:val="1"/>
      <w:numFmt w:val="lowerLetter"/>
      <w:lvlText w:val="%2."/>
      <w:lvlJc w:val="left"/>
      <w:pPr>
        <w:ind w:left="1800" w:hanging="360"/>
      </w:pPr>
    </w:lvl>
    <w:lvl w:ilvl="2" w:tentative="0">
      <w:start w:val="1"/>
      <w:numFmt w:val="lowerRoman"/>
      <w:lvlText w:val="%3."/>
      <w:lvlJc w:val="right"/>
      <w:pPr>
        <w:ind w:left="2520" w:hanging="180"/>
      </w:pPr>
    </w:lvl>
    <w:lvl w:ilvl="3" w:tentative="0">
      <w:start w:val="1"/>
      <w:numFmt w:val="decimal"/>
      <w:lvlText w:val="%4."/>
      <w:lvlJc w:val="left"/>
      <w:pPr>
        <w:ind w:left="3240" w:hanging="360"/>
      </w:pPr>
    </w:lvl>
    <w:lvl w:ilvl="4" w:tentative="0">
      <w:start w:val="1"/>
      <w:numFmt w:val="lowerLetter"/>
      <w:lvlText w:val="%5."/>
      <w:lvlJc w:val="left"/>
      <w:pPr>
        <w:ind w:left="3960" w:hanging="360"/>
      </w:pPr>
    </w:lvl>
    <w:lvl w:ilvl="5" w:tentative="0">
      <w:start w:val="1"/>
      <w:numFmt w:val="lowerRoman"/>
      <w:lvlText w:val="%6."/>
      <w:lvlJc w:val="right"/>
      <w:pPr>
        <w:ind w:left="4680" w:hanging="180"/>
      </w:pPr>
    </w:lvl>
    <w:lvl w:ilvl="6" w:tentative="0">
      <w:start w:val="1"/>
      <w:numFmt w:val="decimal"/>
      <w:lvlText w:val="%7."/>
      <w:lvlJc w:val="left"/>
      <w:pPr>
        <w:ind w:left="5400" w:hanging="360"/>
      </w:pPr>
    </w:lvl>
    <w:lvl w:ilvl="7" w:tentative="0">
      <w:start w:val="1"/>
      <w:numFmt w:val="lowerLetter"/>
      <w:lvlText w:val="%8."/>
      <w:lvlJc w:val="left"/>
      <w:pPr>
        <w:ind w:left="6120" w:hanging="360"/>
      </w:pPr>
    </w:lvl>
    <w:lvl w:ilvl="8" w:tentative="0">
      <w:start w:val="1"/>
      <w:numFmt w:val="lowerRoman"/>
      <w:lvlText w:val="%9."/>
      <w:lvlJc w:val="right"/>
      <w:pPr>
        <w:ind w:left="6840" w:hanging="180"/>
      </w:pPr>
    </w:lvl>
  </w:abstractNum>
  <w:abstractNum w:abstractNumId="34">
    <w:nsid w:val="6C6B1298"/>
    <w:multiLevelType w:val="multilevel"/>
    <w:tmpl w:val="6C6B1298"/>
    <w:lvl w:ilvl="0" w:tentative="0">
      <w:start w:val="1"/>
      <w:numFmt w:val="lowerLetter"/>
      <w:lvlText w:val="%1."/>
      <w:lvlJc w:val="left"/>
      <w:pPr>
        <w:ind w:left="1440" w:hanging="360"/>
      </w:pPr>
    </w:lvl>
    <w:lvl w:ilvl="1" w:tentative="0">
      <w:start w:val="1"/>
      <w:numFmt w:val="lowerLetter"/>
      <w:lvlText w:val="%2."/>
      <w:lvlJc w:val="left"/>
      <w:pPr>
        <w:ind w:left="2160" w:hanging="360"/>
      </w:pPr>
    </w:lvl>
    <w:lvl w:ilvl="2" w:tentative="0">
      <w:start w:val="1"/>
      <w:numFmt w:val="lowerRoman"/>
      <w:lvlText w:val="%3."/>
      <w:lvlJc w:val="right"/>
      <w:pPr>
        <w:ind w:left="2880" w:hanging="180"/>
      </w:pPr>
    </w:lvl>
    <w:lvl w:ilvl="3" w:tentative="0">
      <w:start w:val="1"/>
      <w:numFmt w:val="decimal"/>
      <w:lvlText w:val="%4."/>
      <w:lvlJc w:val="left"/>
      <w:pPr>
        <w:ind w:left="3600" w:hanging="360"/>
      </w:pPr>
    </w:lvl>
    <w:lvl w:ilvl="4" w:tentative="0">
      <w:start w:val="1"/>
      <w:numFmt w:val="lowerLetter"/>
      <w:lvlText w:val="%5."/>
      <w:lvlJc w:val="left"/>
      <w:pPr>
        <w:ind w:left="4320" w:hanging="360"/>
      </w:pPr>
    </w:lvl>
    <w:lvl w:ilvl="5" w:tentative="0">
      <w:start w:val="1"/>
      <w:numFmt w:val="lowerRoman"/>
      <w:lvlText w:val="%6."/>
      <w:lvlJc w:val="right"/>
      <w:pPr>
        <w:ind w:left="5040" w:hanging="180"/>
      </w:pPr>
    </w:lvl>
    <w:lvl w:ilvl="6" w:tentative="0">
      <w:start w:val="1"/>
      <w:numFmt w:val="decimal"/>
      <w:lvlText w:val="%7."/>
      <w:lvlJc w:val="left"/>
      <w:pPr>
        <w:ind w:left="5760" w:hanging="360"/>
      </w:pPr>
    </w:lvl>
    <w:lvl w:ilvl="7" w:tentative="0">
      <w:start w:val="1"/>
      <w:numFmt w:val="lowerLetter"/>
      <w:lvlText w:val="%8."/>
      <w:lvlJc w:val="left"/>
      <w:pPr>
        <w:ind w:left="6480" w:hanging="360"/>
      </w:pPr>
    </w:lvl>
    <w:lvl w:ilvl="8" w:tentative="0">
      <w:start w:val="1"/>
      <w:numFmt w:val="lowerRoman"/>
      <w:lvlText w:val="%9."/>
      <w:lvlJc w:val="right"/>
      <w:pPr>
        <w:ind w:left="7200" w:hanging="180"/>
      </w:pPr>
    </w:lvl>
  </w:abstractNum>
  <w:abstractNum w:abstractNumId="35">
    <w:nsid w:val="6D146C25"/>
    <w:multiLevelType w:val="multilevel"/>
    <w:tmpl w:val="6D146C25"/>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6">
    <w:nsid w:val="6F780E9F"/>
    <w:multiLevelType w:val="multilevel"/>
    <w:tmpl w:val="6F780E9F"/>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7">
    <w:nsid w:val="776F2982"/>
    <w:multiLevelType w:val="multilevel"/>
    <w:tmpl w:val="776F2982"/>
    <w:lvl w:ilvl="0" w:tentative="0">
      <w:start w:val="1"/>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8">
    <w:nsid w:val="789074FF"/>
    <w:multiLevelType w:val="multilevel"/>
    <w:tmpl w:val="789074FF"/>
    <w:lvl w:ilvl="0" w:tentative="0">
      <w:start w:val="1"/>
      <w:numFmt w:val="lowerLetter"/>
      <w:lvlText w:val="%1."/>
      <w:lvlJc w:val="left"/>
      <w:pPr>
        <w:ind w:left="1440" w:hanging="360"/>
      </w:pPr>
    </w:lvl>
    <w:lvl w:ilvl="1" w:tentative="0">
      <w:start w:val="1"/>
      <w:numFmt w:val="lowerLetter"/>
      <w:lvlText w:val="%2."/>
      <w:lvlJc w:val="left"/>
      <w:pPr>
        <w:ind w:left="2160" w:hanging="360"/>
      </w:pPr>
    </w:lvl>
    <w:lvl w:ilvl="2" w:tentative="0">
      <w:start w:val="1"/>
      <w:numFmt w:val="lowerRoman"/>
      <w:lvlText w:val="%3."/>
      <w:lvlJc w:val="right"/>
      <w:pPr>
        <w:ind w:left="2880" w:hanging="180"/>
      </w:pPr>
    </w:lvl>
    <w:lvl w:ilvl="3" w:tentative="0">
      <w:start w:val="1"/>
      <w:numFmt w:val="decimal"/>
      <w:lvlText w:val="%4."/>
      <w:lvlJc w:val="left"/>
      <w:pPr>
        <w:ind w:left="3600" w:hanging="360"/>
      </w:pPr>
    </w:lvl>
    <w:lvl w:ilvl="4" w:tentative="0">
      <w:start w:val="1"/>
      <w:numFmt w:val="lowerLetter"/>
      <w:lvlText w:val="%5."/>
      <w:lvlJc w:val="left"/>
      <w:pPr>
        <w:ind w:left="4320" w:hanging="360"/>
      </w:pPr>
    </w:lvl>
    <w:lvl w:ilvl="5" w:tentative="0">
      <w:start w:val="1"/>
      <w:numFmt w:val="lowerRoman"/>
      <w:lvlText w:val="%6."/>
      <w:lvlJc w:val="right"/>
      <w:pPr>
        <w:ind w:left="5040" w:hanging="180"/>
      </w:pPr>
    </w:lvl>
    <w:lvl w:ilvl="6" w:tentative="0">
      <w:start w:val="1"/>
      <w:numFmt w:val="decimal"/>
      <w:lvlText w:val="%7."/>
      <w:lvlJc w:val="left"/>
      <w:pPr>
        <w:ind w:left="5760" w:hanging="360"/>
      </w:pPr>
    </w:lvl>
    <w:lvl w:ilvl="7" w:tentative="0">
      <w:start w:val="1"/>
      <w:numFmt w:val="lowerLetter"/>
      <w:lvlText w:val="%8."/>
      <w:lvlJc w:val="left"/>
      <w:pPr>
        <w:ind w:left="6480" w:hanging="360"/>
      </w:pPr>
    </w:lvl>
    <w:lvl w:ilvl="8" w:tentative="0">
      <w:start w:val="1"/>
      <w:numFmt w:val="lowerRoman"/>
      <w:lvlText w:val="%9."/>
      <w:lvlJc w:val="right"/>
      <w:pPr>
        <w:ind w:left="7200" w:hanging="180"/>
      </w:pPr>
    </w:lvl>
  </w:abstractNum>
  <w:abstractNum w:abstractNumId="39">
    <w:nsid w:val="790D32B8"/>
    <w:multiLevelType w:val="multilevel"/>
    <w:tmpl w:val="790D32B8"/>
    <w:lvl w:ilvl="0" w:tentative="0">
      <w:start w:val="1"/>
      <w:numFmt w:val="decimal"/>
      <w:lvlText w:val="(%1)"/>
      <w:lvlJc w:val="left"/>
      <w:pPr>
        <w:ind w:left="779" w:hanging="360"/>
      </w:pPr>
      <w:rPr>
        <w:rFonts w:hint="default"/>
      </w:rPr>
    </w:lvl>
    <w:lvl w:ilvl="1" w:tentative="0">
      <w:start w:val="1"/>
      <w:numFmt w:val="lowerLetter"/>
      <w:lvlText w:val="%2."/>
      <w:lvlJc w:val="left"/>
      <w:pPr>
        <w:ind w:left="1499" w:hanging="360"/>
      </w:pPr>
      <w:rPr>
        <w:rFonts w:hint="default"/>
      </w:rPr>
    </w:lvl>
    <w:lvl w:ilvl="2" w:tentative="0">
      <w:start w:val="1"/>
      <w:numFmt w:val="lowerRoman"/>
      <w:lvlText w:val="%3."/>
      <w:lvlJc w:val="right"/>
      <w:pPr>
        <w:ind w:left="2219" w:hanging="180"/>
      </w:pPr>
    </w:lvl>
    <w:lvl w:ilvl="3" w:tentative="0">
      <w:start w:val="1"/>
      <w:numFmt w:val="decimal"/>
      <w:lvlText w:val="%4."/>
      <w:lvlJc w:val="left"/>
      <w:pPr>
        <w:ind w:left="2939" w:hanging="360"/>
      </w:pPr>
    </w:lvl>
    <w:lvl w:ilvl="4" w:tentative="0">
      <w:start w:val="1"/>
      <w:numFmt w:val="lowerLetter"/>
      <w:lvlText w:val="%5."/>
      <w:lvlJc w:val="left"/>
      <w:pPr>
        <w:ind w:left="3659" w:hanging="360"/>
      </w:pPr>
    </w:lvl>
    <w:lvl w:ilvl="5" w:tentative="0">
      <w:start w:val="1"/>
      <w:numFmt w:val="lowerRoman"/>
      <w:lvlText w:val="%6."/>
      <w:lvlJc w:val="right"/>
      <w:pPr>
        <w:ind w:left="4379" w:hanging="180"/>
      </w:pPr>
    </w:lvl>
    <w:lvl w:ilvl="6" w:tentative="0">
      <w:start w:val="1"/>
      <w:numFmt w:val="decimal"/>
      <w:lvlText w:val="%7."/>
      <w:lvlJc w:val="left"/>
      <w:pPr>
        <w:ind w:left="5099" w:hanging="360"/>
      </w:pPr>
    </w:lvl>
    <w:lvl w:ilvl="7" w:tentative="0">
      <w:start w:val="1"/>
      <w:numFmt w:val="lowerLetter"/>
      <w:lvlText w:val="%8."/>
      <w:lvlJc w:val="left"/>
      <w:pPr>
        <w:ind w:left="5819" w:hanging="360"/>
      </w:pPr>
    </w:lvl>
    <w:lvl w:ilvl="8" w:tentative="0">
      <w:start w:val="1"/>
      <w:numFmt w:val="lowerRoman"/>
      <w:lvlText w:val="%9."/>
      <w:lvlJc w:val="right"/>
      <w:pPr>
        <w:ind w:left="6539" w:hanging="180"/>
      </w:pPr>
    </w:lvl>
  </w:abstractNum>
  <w:abstractNum w:abstractNumId="40">
    <w:nsid w:val="7BA7795A"/>
    <w:multiLevelType w:val="multilevel"/>
    <w:tmpl w:val="7BA7795A"/>
    <w:lvl w:ilvl="0" w:tentative="0">
      <w:start w:val="1"/>
      <w:numFmt w:val="lowerLetter"/>
      <w:lvlText w:val="%1."/>
      <w:lvlJc w:val="left"/>
      <w:pPr>
        <w:ind w:left="1440" w:hanging="360"/>
      </w:pPr>
    </w:lvl>
    <w:lvl w:ilvl="1" w:tentative="0">
      <w:start w:val="1"/>
      <w:numFmt w:val="lowerLetter"/>
      <w:lvlText w:val="%2."/>
      <w:lvlJc w:val="left"/>
      <w:pPr>
        <w:ind w:left="2160" w:hanging="360"/>
      </w:pPr>
    </w:lvl>
    <w:lvl w:ilvl="2" w:tentative="0">
      <w:start w:val="1"/>
      <w:numFmt w:val="lowerRoman"/>
      <w:lvlText w:val="%3."/>
      <w:lvlJc w:val="right"/>
      <w:pPr>
        <w:ind w:left="2880" w:hanging="180"/>
      </w:pPr>
    </w:lvl>
    <w:lvl w:ilvl="3" w:tentative="0">
      <w:start w:val="1"/>
      <w:numFmt w:val="decimal"/>
      <w:lvlText w:val="%4."/>
      <w:lvlJc w:val="left"/>
      <w:pPr>
        <w:ind w:left="3600" w:hanging="360"/>
      </w:pPr>
    </w:lvl>
    <w:lvl w:ilvl="4" w:tentative="0">
      <w:start w:val="1"/>
      <w:numFmt w:val="lowerLetter"/>
      <w:lvlText w:val="%5."/>
      <w:lvlJc w:val="left"/>
      <w:pPr>
        <w:ind w:left="4320" w:hanging="360"/>
      </w:pPr>
    </w:lvl>
    <w:lvl w:ilvl="5" w:tentative="0">
      <w:start w:val="1"/>
      <w:numFmt w:val="lowerRoman"/>
      <w:lvlText w:val="%6."/>
      <w:lvlJc w:val="right"/>
      <w:pPr>
        <w:ind w:left="5040" w:hanging="180"/>
      </w:pPr>
    </w:lvl>
    <w:lvl w:ilvl="6" w:tentative="0">
      <w:start w:val="1"/>
      <w:numFmt w:val="decimal"/>
      <w:lvlText w:val="%7."/>
      <w:lvlJc w:val="left"/>
      <w:pPr>
        <w:ind w:left="5760" w:hanging="360"/>
      </w:pPr>
    </w:lvl>
    <w:lvl w:ilvl="7" w:tentative="0">
      <w:start w:val="1"/>
      <w:numFmt w:val="lowerLetter"/>
      <w:lvlText w:val="%8."/>
      <w:lvlJc w:val="left"/>
      <w:pPr>
        <w:ind w:left="6480" w:hanging="360"/>
      </w:pPr>
    </w:lvl>
    <w:lvl w:ilvl="8" w:tentative="0">
      <w:start w:val="1"/>
      <w:numFmt w:val="lowerRoman"/>
      <w:lvlText w:val="%9."/>
      <w:lvlJc w:val="right"/>
      <w:pPr>
        <w:ind w:left="7200" w:hanging="180"/>
      </w:pPr>
    </w:lvl>
  </w:abstractNum>
  <w:abstractNum w:abstractNumId="41">
    <w:nsid w:val="7FE663F6"/>
    <w:multiLevelType w:val="multilevel"/>
    <w:tmpl w:val="7FE663F6"/>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num w:numId="1">
    <w:abstractNumId w:val="29"/>
  </w:num>
  <w:num w:numId="2">
    <w:abstractNumId w:val="17"/>
  </w:num>
  <w:num w:numId="3">
    <w:abstractNumId w:val="20"/>
  </w:num>
  <w:num w:numId="4">
    <w:abstractNumId w:val="13"/>
  </w:num>
  <w:num w:numId="5">
    <w:abstractNumId w:val="21"/>
  </w:num>
  <w:num w:numId="6">
    <w:abstractNumId w:val="37"/>
  </w:num>
  <w:num w:numId="7">
    <w:abstractNumId w:val="25"/>
  </w:num>
  <w:num w:numId="8">
    <w:abstractNumId w:val="15"/>
  </w:num>
  <w:num w:numId="9">
    <w:abstractNumId w:val="26"/>
  </w:num>
  <w:num w:numId="10">
    <w:abstractNumId w:val="27"/>
  </w:num>
  <w:num w:numId="11">
    <w:abstractNumId w:val="1"/>
  </w:num>
  <w:num w:numId="12">
    <w:abstractNumId w:val="6"/>
  </w:num>
  <w:num w:numId="13">
    <w:abstractNumId w:val="31"/>
  </w:num>
  <w:num w:numId="14">
    <w:abstractNumId w:val="30"/>
  </w:num>
  <w:num w:numId="15">
    <w:abstractNumId w:val="33"/>
  </w:num>
  <w:num w:numId="16">
    <w:abstractNumId w:val="8"/>
  </w:num>
  <w:num w:numId="17">
    <w:abstractNumId w:val="24"/>
  </w:num>
  <w:num w:numId="18">
    <w:abstractNumId w:val="40"/>
  </w:num>
  <w:num w:numId="19">
    <w:abstractNumId w:val="41"/>
  </w:num>
  <w:num w:numId="20">
    <w:abstractNumId w:val="0"/>
  </w:num>
  <w:num w:numId="21">
    <w:abstractNumId w:val="5"/>
  </w:num>
  <w:num w:numId="22">
    <w:abstractNumId w:val="9"/>
  </w:num>
  <w:num w:numId="23">
    <w:abstractNumId w:val="35"/>
  </w:num>
  <w:num w:numId="24">
    <w:abstractNumId w:val="28"/>
  </w:num>
  <w:num w:numId="25">
    <w:abstractNumId w:val="3"/>
  </w:num>
  <w:num w:numId="26">
    <w:abstractNumId w:val="10"/>
  </w:num>
  <w:num w:numId="27">
    <w:abstractNumId w:val="34"/>
  </w:num>
  <w:num w:numId="28">
    <w:abstractNumId w:val="22"/>
  </w:num>
  <w:num w:numId="29">
    <w:abstractNumId w:val="4"/>
  </w:num>
  <w:num w:numId="30">
    <w:abstractNumId w:val="12"/>
  </w:num>
  <w:num w:numId="31">
    <w:abstractNumId w:val="36"/>
  </w:num>
  <w:num w:numId="32">
    <w:abstractNumId w:val="16"/>
  </w:num>
  <w:num w:numId="33">
    <w:abstractNumId w:val="23"/>
  </w:num>
  <w:num w:numId="34">
    <w:abstractNumId w:val="32"/>
  </w:num>
  <w:num w:numId="35">
    <w:abstractNumId w:val="19"/>
  </w:num>
  <w:num w:numId="36">
    <w:abstractNumId w:val="39"/>
  </w:num>
  <w:num w:numId="37">
    <w:abstractNumId w:val="14"/>
  </w:num>
  <w:num w:numId="38">
    <w:abstractNumId w:val="18"/>
  </w:num>
  <w:num w:numId="39">
    <w:abstractNumId w:val="2"/>
  </w:num>
  <w:num w:numId="40">
    <w:abstractNumId w:val="7"/>
  </w:num>
  <w:num w:numId="41">
    <w:abstractNumId w:val="11"/>
  </w:num>
  <w:num w:numId="42">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cumentProtection w:enforcement="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2C30"/>
    <w:rsid w:val="00003DFD"/>
    <w:rsid w:val="000643E1"/>
    <w:rsid w:val="00134789"/>
    <w:rsid w:val="001A3284"/>
    <w:rsid w:val="002444CA"/>
    <w:rsid w:val="00255CC2"/>
    <w:rsid w:val="002676BB"/>
    <w:rsid w:val="002B6EBD"/>
    <w:rsid w:val="002C47B9"/>
    <w:rsid w:val="002C654F"/>
    <w:rsid w:val="002D243C"/>
    <w:rsid w:val="002F4197"/>
    <w:rsid w:val="00333E45"/>
    <w:rsid w:val="00334AB1"/>
    <w:rsid w:val="003463DE"/>
    <w:rsid w:val="00396A4C"/>
    <w:rsid w:val="003E6B45"/>
    <w:rsid w:val="00460C92"/>
    <w:rsid w:val="00516011"/>
    <w:rsid w:val="005169E6"/>
    <w:rsid w:val="00547BAA"/>
    <w:rsid w:val="00605B94"/>
    <w:rsid w:val="00614AA1"/>
    <w:rsid w:val="00621D34"/>
    <w:rsid w:val="0062421A"/>
    <w:rsid w:val="00642C30"/>
    <w:rsid w:val="0066111D"/>
    <w:rsid w:val="006672A2"/>
    <w:rsid w:val="00674A7D"/>
    <w:rsid w:val="006949CC"/>
    <w:rsid w:val="006D2B7A"/>
    <w:rsid w:val="00701814"/>
    <w:rsid w:val="0071667D"/>
    <w:rsid w:val="007C4085"/>
    <w:rsid w:val="007C77DF"/>
    <w:rsid w:val="0080054B"/>
    <w:rsid w:val="008036CD"/>
    <w:rsid w:val="008F2428"/>
    <w:rsid w:val="009307F1"/>
    <w:rsid w:val="00937F2C"/>
    <w:rsid w:val="00954069"/>
    <w:rsid w:val="009716CD"/>
    <w:rsid w:val="009A006F"/>
    <w:rsid w:val="00A2122C"/>
    <w:rsid w:val="00A22F6E"/>
    <w:rsid w:val="00A42F56"/>
    <w:rsid w:val="00A60BFF"/>
    <w:rsid w:val="00A7399A"/>
    <w:rsid w:val="00A759DA"/>
    <w:rsid w:val="00A87A84"/>
    <w:rsid w:val="00A91DFE"/>
    <w:rsid w:val="00AE578C"/>
    <w:rsid w:val="00B00800"/>
    <w:rsid w:val="00B25D96"/>
    <w:rsid w:val="00B7789B"/>
    <w:rsid w:val="00BA074B"/>
    <w:rsid w:val="00BA4506"/>
    <w:rsid w:val="00C02C7A"/>
    <w:rsid w:val="00C50F0D"/>
    <w:rsid w:val="00CB1D10"/>
    <w:rsid w:val="00D01938"/>
    <w:rsid w:val="00D5364B"/>
    <w:rsid w:val="00DE5DF9"/>
    <w:rsid w:val="00E463E6"/>
    <w:rsid w:val="00E71A07"/>
    <w:rsid w:val="00E73D90"/>
    <w:rsid w:val="00EC7088"/>
    <w:rsid w:val="00F2351F"/>
    <w:rsid w:val="00F511C8"/>
    <w:rsid w:val="00F56865"/>
    <w:rsid w:val="00FA0D19"/>
    <w:rsid w:val="00FE1BAC"/>
    <w:rsid w:val="00FF36DC"/>
    <w:rsid w:val="3CD947E9"/>
    <w:rsid w:val="4677795C"/>
  </w:rsids>
  <m:mathPr>
    <m:mathFont m:val="Cambria Math"/>
    <m:brkBin m:val="before"/>
    <m:brkBinSub m:val="--"/>
    <m:smallFrac m:val="0"/>
    <m:dispDef/>
    <m:lMargin m:val="0"/>
    <m:rMargin m:val="0"/>
    <m:defJc m:val="centerGroup"/>
    <m:wrapIndent m:val="1440"/>
    <m:intLim m:val="subSup"/>
    <m:naryLim m:val="undOvr"/>
  </m:mathPr>
  <w:themeFontLang w:val="zh-CN"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HAnsi"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qFormat="1"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Theme="minorHAnsi" w:hAnsiTheme="minorHAnsi" w:eastAsiaTheme="minorHAnsi" w:cstheme="minorBidi"/>
      <w:sz w:val="22"/>
      <w:szCs w:val="22"/>
      <w:lang w:val="zh-CN" w:eastAsia="en-US" w:bidi="ar-SA"/>
    </w:rPr>
  </w:style>
  <w:style w:type="character" w:default="1" w:styleId="5">
    <w:name w:val="Default Paragraph Font"/>
    <w:semiHidden/>
    <w:unhideWhenUsed/>
    <w:uiPriority w:val="1"/>
  </w:style>
  <w:style w:type="table" w:default="1" w:styleId="7">
    <w:name w:val="Normal Table"/>
    <w:semiHidden/>
    <w:unhideWhenUsed/>
    <w:qFormat/>
    <w:uiPriority w:val="99"/>
    <w:tblPr>
      <w:tblLayout w:type="fixed"/>
      <w:tblCellMar>
        <w:top w:w="0" w:type="dxa"/>
        <w:left w:w="108" w:type="dxa"/>
        <w:bottom w:w="0" w:type="dxa"/>
        <w:right w:w="108" w:type="dxa"/>
      </w:tblCellMar>
    </w:tblPr>
  </w:style>
  <w:style w:type="paragraph" w:styleId="2">
    <w:name w:val="footer"/>
    <w:basedOn w:val="1"/>
    <w:link w:val="11"/>
    <w:unhideWhenUsed/>
    <w:qFormat/>
    <w:uiPriority w:val="99"/>
    <w:pPr>
      <w:tabs>
        <w:tab w:val="center" w:pos="4513"/>
        <w:tab w:val="right" w:pos="9026"/>
      </w:tabs>
      <w:spacing w:after="0" w:line="240" w:lineRule="auto"/>
    </w:pPr>
  </w:style>
  <w:style w:type="paragraph" w:styleId="3">
    <w:name w:val="footnote text"/>
    <w:basedOn w:val="1"/>
    <w:link w:val="8"/>
    <w:semiHidden/>
    <w:unhideWhenUsed/>
    <w:qFormat/>
    <w:uiPriority w:val="99"/>
    <w:pPr>
      <w:spacing w:after="0" w:line="240" w:lineRule="auto"/>
    </w:pPr>
    <w:rPr>
      <w:sz w:val="20"/>
      <w:szCs w:val="20"/>
    </w:rPr>
  </w:style>
  <w:style w:type="paragraph" w:styleId="4">
    <w:name w:val="header"/>
    <w:basedOn w:val="1"/>
    <w:link w:val="10"/>
    <w:unhideWhenUsed/>
    <w:qFormat/>
    <w:uiPriority w:val="99"/>
    <w:pPr>
      <w:tabs>
        <w:tab w:val="center" w:pos="4513"/>
        <w:tab w:val="right" w:pos="9026"/>
      </w:tabs>
      <w:spacing w:after="0" w:line="240" w:lineRule="auto"/>
    </w:pPr>
  </w:style>
  <w:style w:type="character" w:styleId="6">
    <w:name w:val="footnote reference"/>
    <w:basedOn w:val="5"/>
    <w:semiHidden/>
    <w:unhideWhenUsed/>
    <w:qFormat/>
    <w:uiPriority w:val="99"/>
    <w:rPr>
      <w:vertAlign w:val="superscript"/>
    </w:rPr>
  </w:style>
  <w:style w:type="character" w:customStyle="1" w:styleId="8">
    <w:name w:val="Footnote Text Char"/>
    <w:basedOn w:val="5"/>
    <w:link w:val="3"/>
    <w:semiHidden/>
    <w:uiPriority w:val="99"/>
    <w:rPr>
      <w:sz w:val="20"/>
      <w:szCs w:val="20"/>
    </w:rPr>
  </w:style>
  <w:style w:type="paragraph" w:styleId="9">
    <w:name w:val="List Paragraph"/>
    <w:basedOn w:val="1"/>
    <w:qFormat/>
    <w:uiPriority w:val="34"/>
    <w:pPr>
      <w:ind w:left="720"/>
      <w:contextualSpacing/>
    </w:pPr>
  </w:style>
  <w:style w:type="character" w:customStyle="1" w:styleId="10">
    <w:name w:val="Header Char"/>
    <w:basedOn w:val="5"/>
    <w:link w:val="4"/>
    <w:qFormat/>
    <w:uiPriority w:val="99"/>
  </w:style>
  <w:style w:type="character" w:customStyle="1" w:styleId="11">
    <w:name w:val="Footer Char"/>
    <w:basedOn w:val="5"/>
    <w:link w:val="2"/>
    <w:qFormat/>
    <w:uiPriority w:val="99"/>
  </w:style>
</w:styles>
</file>

<file path=word/_rels/document.xml.rels><?xml version="1.0" encoding="UTF-8" standalone="yes"?>
<Relationships xmlns="http://schemas.openxmlformats.org/package/2006/relationships"><Relationship Id="rId9" Type="http://schemas.openxmlformats.org/officeDocument/2006/relationships/customXml" Target="../customXml/item2.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CHICAGO.XSL" StyleName="Chicago" Version="1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4E430DD-423C-4B09-AC12-E2DEB8C9191D}">
  <ds:schemaRefs/>
</ds:datastoreItem>
</file>

<file path=docProps/app.xml><?xml version="1.0" encoding="utf-8"?>
<Properties xmlns="http://schemas.openxmlformats.org/officeDocument/2006/extended-properties" xmlns:vt="http://schemas.openxmlformats.org/officeDocument/2006/docPropsVTypes">
  <Template>Normal</Template>
  <Pages>24</Pages>
  <Words>5786</Words>
  <Characters>32985</Characters>
  <Lines>274</Lines>
  <Paragraphs>77</Paragraphs>
  <TotalTime>982</TotalTime>
  <ScaleCrop>false</ScaleCrop>
  <LinksUpToDate>false</LinksUpToDate>
  <CharactersWithSpaces>38694</CharactersWithSpaces>
  <Application>WPS Office_11.2.0.8991_F1E327BC-269C-435d-A152-05C5408002CA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2019-09-17T08:45:00Z</dcterms:created>
  <dc:creator>Marojahan Panjaitan</dc:creator>
  <cp:lastModifiedBy>User</cp:lastModifiedBy>
  <dcterms:modified xsi:type="dcterms:W3CDTF">2019-11-05T11:21:45Z</dcterms:modified>
  <cp:revision>18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1033-11.2.0.8991</vt:lpwstr>
  </property>
</Properties>
</file>