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PEMBATALAN PERATURAN DAERAH DAN PERATURAN KEPALA DAERAH SETELAH PUTUSAN MAHKAMAH KONSTITUSI NOMOR : 137/PUU-XIII/2015</w:t>
      </w:r>
    </w:p>
    <w:p>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LAPORAN PENELITIAN PERORANGAN TAHUN AKADEMIK SEMESTER GENAP 2017/2018 PROGRAM MAGISTER (S2) STH BANDUNG</w:t>
      </w:r>
    </w:p>
    <w:p>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Sebagai Laporan Pertanggungjawaban Penelitian Perorangan Dalam Memenuhi Beban Kewajiban Dosen Semester GenapTahun Akademik 2017/2018 STH Bandung</w:t>
      </w:r>
    </w:p>
    <w:p>
      <w:pPr>
        <w:spacing w:line="360" w:lineRule="auto"/>
        <w:jc w:val="center"/>
        <w:rPr>
          <w:rFonts w:ascii="Times New Roman" w:hAnsi="Times New Roman" w:cs="Times New Roman"/>
          <w:b/>
          <w:sz w:val="24"/>
          <w:szCs w:val="24"/>
        </w:rPr>
      </w:pPr>
    </w:p>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Oleh</w:t>
      </w:r>
    </w:p>
    <w:p>
      <w:pPr>
        <w:spacing w:line="240" w:lineRule="auto"/>
        <w:jc w:val="center"/>
        <w:rPr>
          <w:rFonts w:ascii="Times New Roman" w:hAnsi="Times New Roman" w:cs="Times New Roman"/>
          <w:b/>
          <w:sz w:val="24"/>
          <w:szCs w:val="24"/>
        </w:rPr>
      </w:pPr>
      <w:r>
        <w:rPr>
          <w:rFonts w:ascii="Times New Roman" w:hAnsi="Times New Roman" w:cs="Times New Roman"/>
          <w:b/>
          <w:sz w:val="24"/>
          <w:szCs w:val="24"/>
        </w:rPr>
        <w:t>Dr. Marojahan JS Panjaitan, S.H.,</w:t>
      </w:r>
      <w:r>
        <w:rPr>
          <w:rFonts w:hint="default" w:ascii="Times New Roman" w:hAnsi="Times New Roman" w:cs="Times New Roman"/>
          <w:b/>
          <w:sz w:val="24"/>
          <w:szCs w:val="24"/>
          <w:lang w:val="id-ID"/>
        </w:rPr>
        <w:t xml:space="preserve"> </w:t>
      </w:r>
      <w:r>
        <w:rPr>
          <w:rFonts w:ascii="Times New Roman" w:hAnsi="Times New Roman" w:cs="Times New Roman"/>
          <w:b/>
          <w:sz w:val="24"/>
          <w:szCs w:val="24"/>
        </w:rPr>
        <w:t>M.H.</w:t>
      </w:r>
    </w:p>
    <w:p>
      <w:pPr>
        <w:spacing w:line="240" w:lineRule="auto"/>
        <w:jc w:val="center"/>
        <w:rPr>
          <w:rFonts w:ascii="Times New Roman" w:hAnsi="Times New Roman" w:cs="Times New Roman"/>
          <w:b/>
          <w:sz w:val="24"/>
          <w:szCs w:val="24"/>
        </w:rPr>
      </w:pPr>
      <w:r>
        <w:rPr>
          <w:rFonts w:ascii="Times New Roman" w:hAnsi="Times New Roman" w:cs="Times New Roman"/>
          <w:b/>
          <w:sz w:val="24"/>
          <w:szCs w:val="24"/>
          <w:lang w:val="en-US"/>
        </w:rPr>
        <w:t>NIP 195803131986091001</w:t>
      </w:r>
    </w:p>
    <w:p>
      <w:pPr>
        <w:spacing w:line="360" w:lineRule="auto"/>
        <w:jc w:val="center"/>
        <w:rPr>
          <w:rFonts w:ascii="Times New Roman" w:hAnsi="Times New Roman" w:cs="Times New Roman"/>
          <w:b/>
          <w:sz w:val="24"/>
          <w:szCs w:val="24"/>
        </w:rPr>
      </w:pPr>
    </w:p>
    <w:p>
      <w:pPr>
        <w:spacing w:line="360" w:lineRule="auto"/>
        <w:jc w:val="center"/>
        <w:rPr>
          <w:rFonts w:ascii="Times New Roman" w:hAnsi="Times New Roman" w:cs="Times New Roman"/>
          <w:b/>
          <w:sz w:val="24"/>
          <w:szCs w:val="24"/>
        </w:rPr>
      </w:pPr>
      <w:r>
        <w:rPr>
          <w:lang w:eastAsia="id-ID"/>
        </w:rPr>
        <w:drawing>
          <wp:inline distT="0" distB="0" distL="0" distR="0">
            <wp:extent cx="2066925" cy="2066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5"/>
                    <a:stretch>
                      <a:fillRect/>
                    </a:stretch>
                  </pic:blipFill>
                  <pic:spPr>
                    <a:xfrm>
                      <a:off x="0" y="0"/>
                      <a:ext cx="2066925" cy="2066925"/>
                    </a:xfrm>
                    <a:prstGeom prst="rect">
                      <a:avLst/>
                    </a:prstGeom>
                  </pic:spPr>
                </pic:pic>
              </a:graphicData>
            </a:graphic>
          </wp:inline>
        </w:drawing>
      </w:r>
    </w:p>
    <w:p>
      <w:pPr>
        <w:spacing w:line="240" w:lineRule="auto"/>
        <w:jc w:val="center"/>
        <w:rPr>
          <w:rFonts w:ascii="Times New Roman" w:hAnsi="Times New Roman" w:cs="Times New Roman"/>
          <w:b/>
          <w:sz w:val="24"/>
          <w:szCs w:val="24"/>
          <w:lang w:val="en-US"/>
        </w:rPr>
      </w:pPr>
    </w:p>
    <w:p>
      <w:pPr>
        <w:spacing w:line="240" w:lineRule="auto"/>
        <w:jc w:val="center"/>
        <w:rPr>
          <w:rFonts w:ascii="Times New Roman" w:hAnsi="Times New Roman" w:cs="Times New Roman"/>
          <w:b/>
          <w:sz w:val="24"/>
          <w:szCs w:val="24"/>
        </w:rPr>
      </w:pPr>
      <w:r>
        <w:rPr>
          <w:rFonts w:ascii="Times New Roman" w:hAnsi="Times New Roman" w:cs="Times New Roman"/>
          <w:b/>
          <w:sz w:val="24"/>
          <w:szCs w:val="24"/>
          <w:lang w:val="en-US"/>
        </w:rPr>
        <w:t>Dilaksanakan Atas Biaya Anggaran Sekolah Tinggi Hukum Bandung Semester Genap Tahun Akademik 2017/2018</w:t>
      </w:r>
    </w:p>
    <w:p>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LEMBAGA PENELITIAN DAN PENGABDIAN </w:t>
      </w:r>
      <w:r>
        <w:rPr>
          <w:rFonts w:ascii="Times New Roman" w:hAnsi="Times New Roman" w:cs="Times New Roman"/>
          <w:b/>
          <w:sz w:val="24"/>
          <w:szCs w:val="24"/>
          <w:lang w:val="en-US"/>
        </w:rPr>
        <w:t xml:space="preserve">KEPADA </w:t>
      </w:r>
      <w:r>
        <w:rPr>
          <w:rFonts w:ascii="Times New Roman" w:hAnsi="Times New Roman" w:cs="Times New Roman"/>
          <w:b/>
          <w:sz w:val="24"/>
          <w:szCs w:val="24"/>
        </w:rPr>
        <w:t>MASYARAKAT</w:t>
      </w:r>
    </w:p>
    <w:p>
      <w:pPr>
        <w:spacing w:line="240" w:lineRule="auto"/>
        <w:jc w:val="center"/>
        <w:rPr>
          <w:rFonts w:ascii="Times New Roman" w:hAnsi="Times New Roman" w:cs="Times New Roman"/>
          <w:b/>
          <w:sz w:val="24"/>
          <w:szCs w:val="24"/>
        </w:rPr>
      </w:pPr>
      <w:r>
        <w:rPr>
          <w:rFonts w:ascii="Times New Roman" w:hAnsi="Times New Roman" w:cs="Times New Roman"/>
          <w:b/>
          <w:sz w:val="24"/>
          <w:szCs w:val="24"/>
        </w:rPr>
        <w:t>SEKOLAH TINGGI HUKUM BANDUNG</w:t>
      </w:r>
    </w:p>
    <w:p>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rPr>
        <w:t>201</w:t>
      </w:r>
      <w:r>
        <w:rPr>
          <w:rFonts w:ascii="Times New Roman" w:hAnsi="Times New Roman" w:cs="Times New Roman"/>
          <w:b/>
          <w:sz w:val="24"/>
          <w:szCs w:val="24"/>
          <w:lang w:val="en-US"/>
        </w:rPr>
        <w:t>8</w:t>
      </w:r>
    </w:p>
    <w:p>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pPr>
        <w:spacing w:line="360" w:lineRule="auto"/>
        <w:jc w:val="center"/>
        <w:rPr>
          <w:rFonts w:ascii="Times New Roman" w:hAnsi="Times New Roman" w:cs="Times New Roman"/>
          <w:b/>
          <w:sz w:val="24"/>
          <w:szCs w:val="24"/>
          <w:lang w:val="en-US"/>
        </w:rPr>
      </w:pPr>
    </w:p>
    <w:p>
      <w:pPr>
        <w:pStyle w:val="9"/>
        <w:numPr>
          <w:ilvl w:val="0"/>
          <w:numId w:val="1"/>
        </w:numPr>
        <w:spacing w:line="240" w:lineRule="auto"/>
        <w:jc w:val="both"/>
        <w:rPr>
          <w:rFonts w:ascii="Times New Roman" w:hAnsi="Times New Roman" w:cs="Times New Roman"/>
          <w:b/>
          <w:sz w:val="24"/>
          <w:szCs w:val="24"/>
        </w:rPr>
      </w:pPr>
      <w:r>
        <w:rPr>
          <w:rFonts w:ascii="Times New Roman" w:hAnsi="Times New Roman" w:cs="Times New Roman"/>
          <w:b/>
          <w:sz w:val="24"/>
          <w:szCs w:val="24"/>
        </w:rPr>
        <w:t>Judul Penelitian</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ab/>
      </w: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  </w:t>
      </w:r>
      <w:r>
        <w:rPr>
          <w:rFonts w:ascii="Times New Roman" w:hAnsi="Times New Roman" w:cs="Times New Roman"/>
          <w:b/>
          <w:sz w:val="24"/>
          <w:szCs w:val="24"/>
        </w:rPr>
        <w:t>PEMBATALAN</w:t>
      </w:r>
      <w:r>
        <w:rPr>
          <w:rFonts w:ascii="Times New Roman" w:hAnsi="Times New Roman" w:cs="Times New Roman"/>
          <w:b/>
          <w:sz w:val="24"/>
          <w:szCs w:val="24"/>
          <w:lang w:val="en-US"/>
        </w:rPr>
        <w:t xml:space="preserve">    </w:t>
      </w:r>
      <w:r>
        <w:rPr>
          <w:rFonts w:ascii="Times New Roman" w:hAnsi="Times New Roman" w:cs="Times New Roman"/>
          <w:b/>
          <w:sz w:val="24"/>
          <w:szCs w:val="24"/>
        </w:rPr>
        <w:t xml:space="preserve"> PERATURAN </w:t>
      </w:r>
      <w:r>
        <w:rPr>
          <w:rFonts w:ascii="Times New Roman" w:hAnsi="Times New Roman" w:cs="Times New Roman"/>
          <w:b/>
          <w:sz w:val="24"/>
          <w:szCs w:val="24"/>
          <w:lang w:val="en-US"/>
        </w:rPr>
        <w:t xml:space="preserve">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DAERAH</w:t>
      </w:r>
      <w:r>
        <w:rPr>
          <w:rFonts w:hint="default" w:ascii="Times New Roman" w:hAnsi="Times New Roman" w:cs="Times New Roman"/>
          <w:b/>
          <w:sz w:val="24"/>
          <w:szCs w:val="24"/>
          <w:lang w:val="id-ID"/>
        </w:rPr>
        <w:t xml:space="preserve"> </w:t>
      </w:r>
      <w:r>
        <w:rPr>
          <w:rFonts w:ascii="Times New Roman" w:hAnsi="Times New Roman" w:cs="Times New Roman"/>
          <w:b/>
          <w:sz w:val="24"/>
          <w:szCs w:val="24"/>
        </w:rPr>
        <w:t xml:space="preserve">DAN PERATURAN KEPALA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 xml:space="preserve">DAERAH SETELAH PUTUSAN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 xml:space="preserve">MAHKAMAH KONSTITUSI NOMOR :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137/PUU-XIII/2015</w:t>
      </w:r>
    </w:p>
    <w:p>
      <w:pPr>
        <w:spacing w:after="0" w:line="240" w:lineRule="auto"/>
        <w:ind w:left="3122" w:hanging="3122" w:hangingChars="1300"/>
        <w:jc w:val="both"/>
        <w:rPr>
          <w:rFonts w:ascii="Times New Roman" w:hAnsi="Times New Roman" w:cs="Times New Roman"/>
          <w:b/>
          <w:sz w:val="24"/>
          <w:szCs w:val="24"/>
          <w:lang w:val="sv-SE"/>
        </w:rPr>
      </w:pPr>
      <w:r>
        <w:rPr>
          <w:rFonts w:ascii="Times New Roman" w:hAnsi="Times New Roman" w:cs="Times New Roman"/>
          <w:b/>
          <w:sz w:val="24"/>
          <w:szCs w:val="24"/>
          <w:lang w:val="en-US"/>
        </w:rPr>
        <w:t xml:space="preserve">    2. </w:t>
      </w:r>
      <w:r>
        <w:rPr>
          <w:rFonts w:ascii="Times New Roman" w:hAnsi="Times New Roman" w:cs="Times New Roman"/>
          <w:b/>
          <w:sz w:val="24"/>
          <w:szCs w:val="24"/>
        </w:rPr>
        <w:t>Tujuan Penelitian</w:t>
      </w:r>
      <w:r>
        <w:rPr>
          <w:rFonts w:ascii="Times New Roman" w:hAnsi="Times New Roman" w:cs="Times New Roman"/>
          <w:b/>
          <w:sz w:val="24"/>
          <w:szCs w:val="24"/>
        </w:rPr>
        <w:tab/>
      </w: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 untuk   melakukan   pengkajian   dan  analisis</w:t>
      </w:r>
      <w:r>
        <w:rPr>
          <w:rFonts w:hint="default" w:ascii="Times New Roman" w:hAnsi="Times New Roman" w:cs="Times New Roman"/>
          <w:b/>
          <w:sz w:val="24"/>
          <w:szCs w:val="24"/>
          <w:lang w:val="id-ID"/>
        </w:rPr>
        <w:t xml:space="preserve"> </w:t>
      </w:r>
      <w:r>
        <w:rPr>
          <w:rFonts w:ascii="Times New Roman" w:hAnsi="Times New Roman" w:cs="Times New Roman"/>
          <w:b/>
          <w:sz w:val="24"/>
          <w:szCs w:val="24"/>
          <w:lang w:val="sv-SE"/>
        </w:rPr>
        <w:t>bagaimana kedudukan Peraturan Daerah dan Peraturan Kepala Daerah dalam sistem hukum nasional, bagaimana membatalkan Peraturan Daerah dan Peraturan Kepala Daerah setelah terbitnya Putusan Mahkamah Konstitusi</w:t>
      </w:r>
      <w:r>
        <w:rPr>
          <w:rFonts w:ascii="Times New Roman" w:hAnsi="Times New Roman" w:cs="Times New Roman"/>
          <w:b/>
          <w:sz w:val="24"/>
          <w:szCs w:val="24"/>
        </w:rPr>
        <w:t xml:space="preserve"> No. 137/PUU-XIII/2015</w:t>
      </w:r>
      <w:r>
        <w:rPr>
          <w:rFonts w:ascii="Times New Roman" w:hAnsi="Times New Roman" w:cs="Times New Roman"/>
          <w:b/>
          <w:sz w:val="24"/>
          <w:szCs w:val="24"/>
          <w:lang w:val="en-US"/>
        </w:rPr>
        <w:t>, dan b</w:t>
      </w:r>
      <w:r>
        <w:rPr>
          <w:rFonts w:ascii="Times New Roman" w:hAnsi="Times New Roman" w:cs="Times New Roman"/>
          <w:b/>
          <w:sz w:val="24"/>
          <w:szCs w:val="24"/>
        </w:rPr>
        <w:t xml:space="preserve">agaimana bentuk pembinaan Gubernur kepada Pemerintah Kabupaten/Kota dalam penerbitan Peraturan Daerah dan Peraturan Kepala Daerah dilakukan setelah terbitnya putusan </w:t>
      </w:r>
      <w:r>
        <w:rPr>
          <w:rFonts w:ascii="Times New Roman" w:hAnsi="Times New Roman" w:cs="Times New Roman"/>
          <w:b/>
          <w:color w:val="000000"/>
          <w:sz w:val="24"/>
          <w:szCs w:val="24"/>
        </w:rPr>
        <w:t>Mahkamah Konstitusi No. 137/PUU-XII</w:t>
      </w:r>
      <w:r>
        <w:rPr>
          <w:rFonts w:ascii="Times New Roman" w:hAnsi="Times New Roman" w:cs="Times New Roman"/>
          <w:b/>
          <w:color w:val="000000"/>
          <w:sz w:val="24"/>
          <w:szCs w:val="24"/>
          <w:lang w:val="en-US"/>
        </w:rPr>
        <w:t>I</w:t>
      </w:r>
      <w:r>
        <w:rPr>
          <w:rFonts w:ascii="Times New Roman" w:hAnsi="Times New Roman" w:cs="Times New Roman"/>
          <w:b/>
          <w:color w:val="000000"/>
          <w:sz w:val="24"/>
          <w:szCs w:val="24"/>
        </w:rPr>
        <w:t>/201</w:t>
      </w:r>
      <w:r>
        <w:rPr>
          <w:rFonts w:ascii="Times New Roman" w:hAnsi="Times New Roman" w:cs="Times New Roman"/>
          <w:b/>
          <w:sz w:val="24"/>
          <w:szCs w:val="24"/>
        </w:rPr>
        <w:t>5</w:t>
      </w:r>
    </w:p>
    <w:p>
      <w:pPr>
        <w:pStyle w:val="9"/>
        <w:numPr>
          <w:ilvl w:val="0"/>
          <w:numId w:val="2"/>
        </w:numPr>
        <w:spacing w:line="240" w:lineRule="auto"/>
        <w:jc w:val="both"/>
        <w:rPr>
          <w:rFonts w:ascii="Times New Roman" w:hAnsi="Times New Roman" w:cs="Times New Roman"/>
          <w:b/>
          <w:sz w:val="24"/>
          <w:szCs w:val="24"/>
        </w:rPr>
      </w:pPr>
      <w:r>
        <w:rPr>
          <w:rFonts w:ascii="Times New Roman" w:hAnsi="Times New Roman" w:cs="Times New Roman"/>
          <w:b/>
          <w:sz w:val="24"/>
          <w:szCs w:val="24"/>
        </w:rPr>
        <w:t>Bidang Ilmu</w:t>
      </w:r>
      <w:r>
        <w:rPr>
          <w:rFonts w:ascii="Times New Roman" w:hAnsi="Times New Roman" w:cs="Times New Roman"/>
          <w:b/>
          <w:sz w:val="24"/>
          <w:szCs w:val="24"/>
        </w:rPr>
        <w:tab/>
      </w:r>
      <w:r>
        <w:rPr>
          <w:rFonts w:ascii="Times New Roman" w:hAnsi="Times New Roman" w:cs="Times New Roman"/>
          <w:b/>
          <w:sz w:val="24"/>
          <w:szCs w:val="24"/>
        </w:rPr>
        <w:tab/>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 </w:t>
      </w:r>
      <w:r>
        <w:rPr>
          <w:rFonts w:ascii="Times New Roman" w:hAnsi="Times New Roman" w:cs="Times New Roman"/>
          <w:b/>
          <w:sz w:val="24"/>
          <w:szCs w:val="24"/>
        </w:rPr>
        <w:t>Ilmu Hukum</w:t>
      </w:r>
    </w:p>
    <w:p>
      <w:pPr>
        <w:pStyle w:val="9"/>
        <w:numPr>
          <w:ilvl w:val="0"/>
          <w:numId w:val="2"/>
        </w:numPr>
        <w:spacing w:line="240" w:lineRule="auto"/>
        <w:jc w:val="both"/>
        <w:rPr>
          <w:rFonts w:ascii="Times New Roman" w:hAnsi="Times New Roman" w:cs="Times New Roman"/>
          <w:b/>
          <w:sz w:val="24"/>
          <w:szCs w:val="24"/>
        </w:rPr>
      </w:pPr>
      <w:r>
        <w:rPr>
          <w:rFonts w:ascii="Times New Roman" w:hAnsi="Times New Roman" w:cs="Times New Roman"/>
          <w:b/>
          <w:sz w:val="24"/>
          <w:szCs w:val="24"/>
        </w:rPr>
        <w:t>Nama Peneliti</w:t>
      </w:r>
      <w:r>
        <w:rPr>
          <w:rFonts w:ascii="Times New Roman" w:hAnsi="Times New Roman" w:cs="Times New Roman"/>
          <w:b/>
          <w:sz w:val="24"/>
          <w:szCs w:val="24"/>
        </w:rPr>
        <w:tab/>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 </w:t>
      </w:r>
      <w:r>
        <w:rPr>
          <w:rFonts w:ascii="Times New Roman" w:hAnsi="Times New Roman" w:cs="Times New Roman"/>
          <w:b/>
          <w:sz w:val="24"/>
          <w:szCs w:val="24"/>
        </w:rPr>
        <w:t>Dr. Marojahan JS Panjaitan</w:t>
      </w:r>
    </w:p>
    <w:p>
      <w:pPr>
        <w:pStyle w:val="9"/>
        <w:numPr>
          <w:ilvl w:val="0"/>
          <w:numId w:val="2"/>
        </w:numPr>
        <w:spacing w:line="240" w:lineRule="auto"/>
        <w:jc w:val="both"/>
        <w:rPr>
          <w:rFonts w:ascii="Times New Roman" w:hAnsi="Times New Roman" w:cs="Times New Roman"/>
          <w:b/>
          <w:sz w:val="24"/>
          <w:szCs w:val="24"/>
        </w:rPr>
      </w:pPr>
      <w:r>
        <w:rPr>
          <w:rFonts w:ascii="Times New Roman" w:hAnsi="Times New Roman" w:cs="Times New Roman"/>
          <w:b/>
          <w:sz w:val="24"/>
          <w:szCs w:val="24"/>
        </w:rPr>
        <w:t>NIP</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w:t>
      </w:r>
      <w:r>
        <w:rPr>
          <w:rFonts w:ascii="Times New Roman" w:hAnsi="Times New Roman" w:cs="Times New Roman"/>
          <w:b/>
          <w:sz w:val="24"/>
          <w:szCs w:val="24"/>
          <w:lang w:val="en-US"/>
        </w:rPr>
        <w:t xml:space="preserve">  </w:t>
      </w:r>
      <w:r>
        <w:rPr>
          <w:rFonts w:ascii="Times New Roman" w:hAnsi="Times New Roman" w:cs="Times New Roman"/>
          <w:b/>
          <w:sz w:val="24"/>
          <w:szCs w:val="24"/>
        </w:rPr>
        <w:t>195803131986091001</w:t>
      </w:r>
    </w:p>
    <w:p>
      <w:pPr>
        <w:pStyle w:val="9"/>
        <w:numPr>
          <w:ilvl w:val="0"/>
          <w:numId w:val="2"/>
        </w:numPr>
        <w:spacing w:line="240" w:lineRule="auto"/>
        <w:jc w:val="both"/>
        <w:rPr>
          <w:rFonts w:ascii="Times New Roman" w:hAnsi="Times New Roman" w:cs="Times New Roman"/>
          <w:b/>
          <w:sz w:val="24"/>
          <w:szCs w:val="24"/>
        </w:rPr>
      </w:pPr>
      <w:r>
        <w:rPr>
          <w:rFonts w:ascii="Times New Roman" w:hAnsi="Times New Roman" w:cs="Times New Roman"/>
          <w:b/>
          <w:sz w:val="24"/>
          <w:szCs w:val="24"/>
        </w:rPr>
        <w:t>Waktu Penelitian</w:t>
      </w:r>
      <w:r>
        <w:rPr>
          <w:rFonts w:ascii="Times New Roman" w:hAnsi="Times New Roman" w:cs="Times New Roman"/>
          <w:b/>
          <w:sz w:val="24"/>
          <w:szCs w:val="24"/>
        </w:rPr>
        <w:tab/>
      </w:r>
      <w:r>
        <w:rPr>
          <w:rFonts w:hint="default" w:ascii="Times New Roman" w:hAnsi="Times New Roman" w:cs="Times New Roman"/>
          <w:b/>
          <w:sz w:val="24"/>
          <w:szCs w:val="24"/>
          <w:lang w:val="id-ID"/>
        </w:rPr>
        <w:tab/>
      </w: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 </w:t>
      </w:r>
      <w:r>
        <w:rPr>
          <w:rFonts w:ascii="Times New Roman" w:hAnsi="Times New Roman" w:cs="Times New Roman"/>
          <w:b/>
          <w:sz w:val="24"/>
          <w:szCs w:val="24"/>
        </w:rPr>
        <w:t>6 Bulan</w:t>
      </w:r>
    </w:p>
    <w:p>
      <w:pPr>
        <w:pStyle w:val="9"/>
        <w:numPr>
          <w:ilvl w:val="0"/>
          <w:numId w:val="2"/>
        </w:numPr>
        <w:spacing w:line="240" w:lineRule="auto"/>
        <w:jc w:val="both"/>
        <w:rPr>
          <w:rFonts w:ascii="Times New Roman" w:hAnsi="Times New Roman" w:cs="Times New Roman"/>
          <w:b/>
          <w:sz w:val="24"/>
          <w:szCs w:val="24"/>
        </w:rPr>
      </w:pPr>
      <w:r>
        <w:rPr>
          <w:rFonts w:ascii="Times New Roman" w:hAnsi="Times New Roman" w:cs="Times New Roman"/>
          <w:b/>
          <w:sz w:val="24"/>
          <w:szCs w:val="24"/>
        </w:rPr>
        <w:t>Biaya Penelitian</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ab/>
      </w: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 </w:t>
      </w:r>
      <w:r>
        <w:rPr>
          <w:rFonts w:ascii="Times New Roman" w:hAnsi="Times New Roman" w:cs="Times New Roman"/>
          <w:b/>
          <w:sz w:val="24"/>
          <w:szCs w:val="24"/>
        </w:rPr>
        <w:t>Rp. 6.000.000,- (enam juta rupiah)</w:t>
      </w:r>
    </w:p>
    <w:p>
      <w:pPr>
        <w:pStyle w:val="9"/>
        <w:numPr>
          <w:ilvl w:val="0"/>
          <w:numId w:val="2"/>
        </w:numPr>
        <w:spacing w:line="240" w:lineRule="auto"/>
        <w:jc w:val="both"/>
        <w:rPr>
          <w:rFonts w:ascii="Times New Roman" w:hAnsi="Times New Roman" w:cs="Times New Roman"/>
          <w:b/>
          <w:sz w:val="24"/>
          <w:szCs w:val="24"/>
        </w:rPr>
      </w:pPr>
      <w:r>
        <w:rPr>
          <w:rFonts w:ascii="Times New Roman" w:hAnsi="Times New Roman" w:cs="Times New Roman"/>
          <w:b/>
          <w:sz w:val="24"/>
          <w:szCs w:val="24"/>
        </w:rPr>
        <w:t>Sumber Biaya</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t/>
      </w:r>
      <w:r>
        <w:rPr>
          <w:rFonts w:hint="default" w:ascii="Times New Roman" w:hAnsi="Times New Roman" w:cs="Times New Roman"/>
          <w:b/>
          <w:sz w:val="24"/>
          <w:szCs w:val="24"/>
          <w:lang w:val="id-ID"/>
        </w:rPr>
        <w:tab/>
      </w:r>
      <w:r>
        <w:rPr>
          <w:rFonts w:ascii="Times New Roman" w:hAnsi="Times New Roman" w:cs="Times New Roman"/>
          <w:b/>
          <w:sz w:val="24"/>
          <w:szCs w:val="24"/>
        </w:rPr>
        <w:tab/>
      </w:r>
      <w:r>
        <w:rPr>
          <w:rFonts w:ascii="Times New Roman" w:hAnsi="Times New Roman" w:cs="Times New Roman"/>
          <w:b/>
          <w:sz w:val="24"/>
          <w:szCs w:val="24"/>
        </w:rPr>
        <w:t xml:space="preserve">: </w:t>
      </w:r>
      <w:r>
        <w:rPr>
          <w:rFonts w:ascii="Times New Roman" w:hAnsi="Times New Roman" w:cs="Times New Roman"/>
          <w:b/>
          <w:sz w:val="24"/>
          <w:szCs w:val="24"/>
          <w:lang w:val="en-US"/>
        </w:rPr>
        <w:t xml:space="preserve"> </w:t>
      </w:r>
      <w:r>
        <w:rPr>
          <w:rFonts w:ascii="Times New Roman" w:hAnsi="Times New Roman" w:cs="Times New Roman"/>
          <w:b/>
          <w:sz w:val="24"/>
          <w:szCs w:val="24"/>
        </w:rPr>
        <w:t>Anggaran Sekolah Tinggi Hukum Bandung</w:t>
      </w:r>
    </w:p>
    <w:p>
      <w:pPr>
        <w:pStyle w:val="9"/>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 xml:space="preserve">   </w:t>
      </w:r>
      <w:r>
        <w:rPr>
          <w:rFonts w:ascii="Times New Roman" w:hAnsi="Times New Roman" w:cs="Times New Roman"/>
          <w:b/>
          <w:sz w:val="24"/>
          <w:szCs w:val="24"/>
        </w:rPr>
        <w:t>Tahun Akademik 2017/2018</w:t>
      </w:r>
    </w:p>
    <w:p>
      <w:pPr>
        <w:spacing w:line="240" w:lineRule="auto"/>
        <w:ind w:left="4320"/>
        <w:jc w:val="both"/>
        <w:rPr>
          <w:rFonts w:ascii="Times New Roman" w:hAnsi="Times New Roman" w:cs="Times New Roman"/>
          <w:b/>
          <w:sz w:val="24"/>
          <w:szCs w:val="24"/>
          <w:lang w:val="en-US"/>
        </w:rPr>
      </w:pPr>
      <w:r>
        <w:rPr>
          <w:rFonts w:ascii="Times New Roman" w:hAnsi="Times New Roman" w:cs="Times New Roman"/>
          <w:b/>
          <w:sz w:val="24"/>
          <w:szCs w:val="24"/>
        </w:rPr>
        <w:t xml:space="preserve">Bandung, </w:t>
      </w:r>
      <w:r>
        <w:rPr>
          <w:rFonts w:ascii="Times New Roman" w:hAnsi="Times New Roman" w:cs="Times New Roman"/>
          <w:b/>
          <w:sz w:val="24"/>
          <w:szCs w:val="24"/>
          <w:lang w:val="en-US"/>
        </w:rPr>
        <w:t>3 April</w:t>
      </w:r>
      <w:r>
        <w:rPr>
          <w:rFonts w:ascii="Times New Roman" w:hAnsi="Times New Roman" w:cs="Times New Roman"/>
          <w:b/>
          <w:sz w:val="24"/>
          <w:szCs w:val="24"/>
        </w:rPr>
        <w:t xml:space="preserve"> 201</w:t>
      </w:r>
      <w:r>
        <w:rPr>
          <w:rFonts w:ascii="Times New Roman" w:hAnsi="Times New Roman" w:cs="Times New Roman"/>
          <w:b/>
          <w:sz w:val="24"/>
          <w:szCs w:val="24"/>
          <w:lang w:val="en-US"/>
        </w:rPr>
        <w:t>8</w:t>
      </w:r>
    </w:p>
    <w:p>
      <w:pPr>
        <w:spacing w:line="240" w:lineRule="auto"/>
        <w:ind w:left="4320" w:firstLine="720"/>
        <w:jc w:val="both"/>
        <w:rPr>
          <w:rFonts w:ascii="Times New Roman" w:hAnsi="Times New Roman" w:cs="Times New Roman"/>
          <w:b/>
          <w:sz w:val="24"/>
          <w:szCs w:val="24"/>
        </w:rPr>
      </w:pPr>
      <w:r>
        <w:rPr>
          <w:rFonts w:ascii="Times New Roman" w:hAnsi="Times New Roman" w:cs="Times New Roman"/>
          <w:b/>
          <w:sz w:val="24"/>
          <w:szCs w:val="24"/>
        </w:rPr>
        <w:t>Peneliti</w:t>
      </w:r>
    </w:p>
    <w:p>
      <w:pPr>
        <w:spacing w:line="240" w:lineRule="auto"/>
        <w:jc w:val="both"/>
        <w:rPr>
          <w:rFonts w:ascii="Times New Roman" w:hAnsi="Times New Roman" w:cs="Times New Roman"/>
          <w:b/>
          <w:sz w:val="24"/>
          <w:szCs w:val="24"/>
        </w:rPr>
      </w:pPr>
    </w:p>
    <w:p>
      <w:pPr>
        <w:spacing w:line="240" w:lineRule="auto"/>
        <w:ind w:left="2880" w:firstLine="720"/>
        <w:jc w:val="both"/>
        <w:rPr>
          <w:rFonts w:ascii="Times New Roman" w:hAnsi="Times New Roman" w:cs="Times New Roman"/>
          <w:b/>
          <w:sz w:val="24"/>
          <w:szCs w:val="24"/>
        </w:rPr>
      </w:pPr>
      <w:r>
        <w:rPr>
          <w:rFonts w:ascii="Times New Roman" w:hAnsi="Times New Roman" w:cs="Times New Roman"/>
          <w:b/>
          <w:sz w:val="24"/>
          <w:szCs w:val="24"/>
        </w:rPr>
        <w:t>Dr. Marojahan JS Panjaitan, S.H.,M.H</w:t>
      </w:r>
    </w:p>
    <w:p>
      <w:pPr>
        <w:spacing w:line="240" w:lineRule="auto"/>
        <w:jc w:val="center"/>
        <w:rPr>
          <w:rFonts w:ascii="Times New Roman" w:hAnsi="Times New Roman" w:cs="Times New Roman"/>
          <w:b/>
          <w:sz w:val="24"/>
          <w:szCs w:val="24"/>
        </w:rPr>
      </w:pPr>
      <w:r>
        <w:rPr>
          <w:rFonts w:ascii="Times New Roman" w:hAnsi="Times New Roman" w:cs="Times New Roman"/>
          <w:b/>
          <w:sz w:val="24"/>
          <w:szCs w:val="24"/>
        </w:rPr>
        <w:t>Menyetujui</w:t>
      </w:r>
    </w:p>
    <w:p>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Kepala LPPM,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Kepala Program Magister</w:t>
      </w:r>
    </w:p>
    <w:p>
      <w:pPr>
        <w:spacing w:line="240" w:lineRule="auto"/>
        <w:jc w:val="center"/>
        <w:rPr>
          <w:rFonts w:hint="default" w:ascii="Times New Roman" w:hAnsi="Times New Roman" w:cs="Times New Roman"/>
          <w:b/>
          <w:sz w:val="24"/>
          <w:szCs w:val="24"/>
          <w:lang w:val="id-ID"/>
        </w:rPr>
      </w:pPr>
      <w:r>
        <w:rPr>
          <w:rFonts w:ascii="Times New Roman" w:hAnsi="Times New Roman" w:cs="Times New Roman"/>
          <w:b/>
          <w:sz w:val="24"/>
          <w:szCs w:val="24"/>
        </w:rPr>
        <w:t>Sekolah Tinggi Hukum Bandung</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 xml:space="preserve"> Sekolah Tinggi Hukum Bandung</w:t>
      </w:r>
    </w:p>
    <w:p>
      <w:pPr>
        <w:spacing w:line="360" w:lineRule="auto"/>
        <w:rPr>
          <w:rFonts w:hint="default" w:ascii="Times New Roman" w:hAnsi="Times New Roman" w:cs="Times New Roman"/>
          <w:b/>
          <w:sz w:val="24"/>
          <w:szCs w:val="24"/>
          <w:lang w:val="id-ID"/>
        </w:rPr>
      </w:pPr>
      <w:r>
        <w:rPr>
          <w:rFonts w:hint="default" w:ascii="Times New Roman" w:hAnsi="Times New Roman" w:cs="Times New Roman"/>
          <w:b/>
          <w:sz w:val="24"/>
          <w:szCs w:val="24"/>
          <w:lang w:val="id-ID"/>
        </w:rPr>
        <w:t>]</w:t>
      </w:r>
    </w:p>
    <w:p>
      <w:pPr>
        <w:spacing w:line="360" w:lineRule="auto"/>
        <w:rPr>
          <w:rFonts w:ascii="Times New Roman" w:hAnsi="Times New Roman" w:cs="Times New Roman"/>
          <w:b/>
          <w:sz w:val="24"/>
          <w:szCs w:val="24"/>
        </w:rPr>
      </w:pPr>
      <w:r>
        <w:rPr>
          <w:rFonts w:ascii="Times New Roman" w:hAnsi="Times New Roman" w:cs="Times New Roman"/>
          <w:b/>
          <w:sz w:val="24"/>
          <w:szCs w:val="24"/>
        </w:rPr>
        <w:t>Dr. Widiada Gunakaya SA, S.H.,</w:t>
      </w:r>
      <w:r>
        <w:rPr>
          <w:rFonts w:hint="default" w:ascii="Times New Roman" w:hAnsi="Times New Roman" w:cs="Times New Roman"/>
          <w:b/>
          <w:sz w:val="24"/>
          <w:szCs w:val="24"/>
          <w:lang w:val="id-ID"/>
        </w:rPr>
        <w:t xml:space="preserve"> </w:t>
      </w:r>
      <w:r>
        <w:rPr>
          <w:rFonts w:ascii="Times New Roman" w:hAnsi="Times New Roman" w:cs="Times New Roman"/>
          <w:b/>
          <w:sz w:val="24"/>
          <w:szCs w:val="24"/>
        </w:rPr>
        <w:t xml:space="preserve">M.H. </w:t>
      </w:r>
      <w:r>
        <w:rPr>
          <w:rFonts w:ascii="Times New Roman" w:hAnsi="Times New Roman" w:cs="Times New Roman"/>
          <w:b/>
          <w:sz w:val="24"/>
          <w:szCs w:val="24"/>
        </w:rPr>
        <w:tab/>
      </w:r>
      <w:r>
        <w:rPr>
          <w:rFonts w:hint="default" w:ascii="Times New Roman" w:hAnsi="Times New Roman" w:cs="Times New Roman"/>
          <w:b/>
          <w:sz w:val="24"/>
          <w:szCs w:val="24"/>
          <w:lang w:val="id-ID"/>
        </w:rPr>
        <w:t xml:space="preserve">       </w:t>
      </w:r>
      <w:r>
        <w:rPr>
          <w:rFonts w:ascii="Times New Roman" w:hAnsi="Times New Roman" w:cs="Times New Roman"/>
          <w:b/>
          <w:sz w:val="24"/>
          <w:szCs w:val="24"/>
        </w:rPr>
        <w:t>Dr. Darwin Ginting,</w:t>
      </w:r>
      <w:r>
        <w:rPr>
          <w:rFonts w:hint="default" w:ascii="Times New Roman" w:hAnsi="Times New Roman" w:cs="Times New Roman"/>
          <w:b/>
          <w:sz w:val="24"/>
          <w:szCs w:val="24"/>
          <w:lang w:val="id-ID"/>
        </w:rPr>
        <w:t xml:space="preserve"> </w:t>
      </w:r>
      <w:r>
        <w:rPr>
          <w:rFonts w:ascii="Times New Roman" w:hAnsi="Times New Roman" w:cs="Times New Roman"/>
          <w:b/>
          <w:sz w:val="24"/>
          <w:szCs w:val="24"/>
        </w:rPr>
        <w:t>S.H.M.H</w:t>
      </w:r>
    </w:p>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Ketua Sekolah Tinggi Hukum Bandung</w:t>
      </w:r>
    </w:p>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Dr. Walter Wanggur, S.H.,M.H</w:t>
      </w:r>
    </w:p>
    <w:p>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KATA PENGANTAR</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 xml:space="preserve">Dengan mengucapkan Puji dan Syukur kehadirat Tuhan Yang Maha Esa, karena bimbingannya sehingga hasil penelitian ini dapat disampaikan tepat waktu. Penelitian ini mencoba mencari jawaban tentang bagaimana </w:t>
      </w:r>
      <w:r>
        <w:rPr>
          <w:rFonts w:ascii="Times New Roman" w:hAnsi="Times New Roman" w:cs="Times New Roman"/>
          <w:b/>
          <w:sz w:val="24"/>
          <w:szCs w:val="24"/>
          <w:lang w:val="en-US"/>
        </w:rPr>
        <w:t>membatalkan Peraturan Daerah dan Peraturan Kepala Daerah setelah</w:t>
      </w:r>
      <w:r>
        <w:rPr>
          <w:rFonts w:ascii="Times New Roman" w:hAnsi="Times New Roman" w:cs="Times New Roman"/>
          <w:b/>
          <w:sz w:val="24"/>
          <w:szCs w:val="24"/>
          <w:lang w:val="sv-SE"/>
        </w:rPr>
        <w:t xml:space="preserve"> terbitnya Putusan Mahkamah Konstitusi</w:t>
      </w:r>
      <w:r>
        <w:rPr>
          <w:rFonts w:ascii="Times New Roman" w:hAnsi="Times New Roman" w:cs="Times New Roman"/>
          <w:b/>
          <w:sz w:val="24"/>
          <w:szCs w:val="24"/>
        </w:rPr>
        <w:t xml:space="preserve"> No. 137/PUU-XIII/2015</w:t>
      </w:r>
      <w:r>
        <w:rPr>
          <w:rFonts w:ascii="Times New Roman" w:hAnsi="Times New Roman" w:cs="Times New Roman"/>
          <w:b/>
          <w:sz w:val="24"/>
          <w:szCs w:val="24"/>
          <w:lang w:val="en-US"/>
        </w:rPr>
        <w:t xml:space="preserve">. </w:t>
      </w:r>
      <w:r>
        <w:rPr>
          <w:rFonts w:ascii="Times New Roman" w:hAnsi="Times New Roman" w:cs="Times New Roman"/>
          <w:b/>
          <w:sz w:val="24"/>
          <w:szCs w:val="24"/>
        </w:rPr>
        <w:t xml:space="preserve">Dalam penelitian ini yang dikaji adalah  </w:t>
      </w:r>
      <w:r>
        <w:rPr>
          <w:rFonts w:ascii="Times New Roman" w:hAnsi="Times New Roman" w:cs="Times New Roman"/>
          <w:b/>
          <w:sz w:val="24"/>
          <w:szCs w:val="24"/>
          <w:lang w:val="sv-SE"/>
        </w:rPr>
        <w:t>bagaimana kedudukan Peraturan Daerah dan Peraturan Kepala Daerah dalam sistem hukum nasional, bagaimana membatalkan Peraturan Daerah dan Peraturan Kepala Daerah setelah terbitnya Putusan Mahkamah Konstitusi</w:t>
      </w:r>
      <w:r>
        <w:rPr>
          <w:rFonts w:ascii="Times New Roman" w:hAnsi="Times New Roman" w:cs="Times New Roman"/>
          <w:b/>
          <w:sz w:val="24"/>
          <w:szCs w:val="24"/>
        </w:rPr>
        <w:t xml:space="preserve"> No. 137/PUU-XIII/2015</w:t>
      </w:r>
      <w:r>
        <w:rPr>
          <w:rFonts w:ascii="Times New Roman" w:hAnsi="Times New Roman" w:cs="Times New Roman"/>
          <w:b/>
          <w:sz w:val="24"/>
          <w:szCs w:val="24"/>
          <w:lang w:val="en-US"/>
        </w:rPr>
        <w:t>, dan b</w:t>
      </w:r>
      <w:r>
        <w:rPr>
          <w:rFonts w:ascii="Times New Roman" w:hAnsi="Times New Roman" w:cs="Times New Roman"/>
          <w:b/>
          <w:sz w:val="24"/>
          <w:szCs w:val="24"/>
        </w:rPr>
        <w:t xml:space="preserve">agaimana bentuk pembinaan Gubernur kepada Pemerintah Kabupaten/Kota dalam penerbitan Peraturan Daerah dan Peraturan Kepala Daerah dilakukan setelah terbitnya putusan </w:t>
      </w:r>
      <w:r>
        <w:rPr>
          <w:rFonts w:ascii="Times New Roman" w:hAnsi="Times New Roman" w:cs="Times New Roman"/>
          <w:b/>
          <w:color w:val="000000"/>
          <w:sz w:val="24"/>
          <w:szCs w:val="24"/>
        </w:rPr>
        <w:t>Mahkamah Konstitusi No. 137/PUU-XII</w:t>
      </w:r>
      <w:r>
        <w:rPr>
          <w:rFonts w:ascii="Times New Roman" w:hAnsi="Times New Roman" w:cs="Times New Roman"/>
          <w:b/>
          <w:color w:val="000000"/>
          <w:sz w:val="24"/>
          <w:szCs w:val="24"/>
          <w:lang w:val="en-US"/>
        </w:rPr>
        <w:t>I</w:t>
      </w:r>
      <w:r>
        <w:rPr>
          <w:rFonts w:ascii="Times New Roman" w:hAnsi="Times New Roman" w:cs="Times New Roman"/>
          <w:b/>
          <w:color w:val="000000"/>
          <w:sz w:val="24"/>
          <w:szCs w:val="24"/>
        </w:rPr>
        <w:t>/201</w:t>
      </w:r>
      <w:r>
        <w:rPr>
          <w:rFonts w:ascii="Times New Roman" w:hAnsi="Times New Roman" w:cs="Times New Roman"/>
          <w:b/>
          <w:sz w:val="24"/>
          <w:szCs w:val="24"/>
        </w:rPr>
        <w:t>5</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Melalui kesempatan ini peneliti menyampaikan ucapan terimakasih kepada yang terhormat Bapak Ketua STHB, Kepala Penelitian STHB, dan Kepala Program Magister STHB atas kesempatan dan pemberian biaya untuk penelitian ini. Semoga penelitian ini bermanfaat bagi siapa saja. Kritik dan saran sangat diharapkan dalam pengembangan penelitian ini lebih lanjut.</w:t>
      </w:r>
    </w:p>
    <w:p>
      <w:pPr>
        <w:spacing w:line="360" w:lineRule="auto"/>
        <w:ind w:left="3600" w:firstLine="720"/>
        <w:jc w:val="both"/>
        <w:rPr>
          <w:rFonts w:ascii="Times New Roman" w:hAnsi="Times New Roman" w:cs="Times New Roman"/>
          <w:b/>
          <w:sz w:val="24"/>
          <w:szCs w:val="24"/>
        </w:rPr>
      </w:pPr>
    </w:p>
    <w:p>
      <w:pPr>
        <w:spacing w:line="360" w:lineRule="auto"/>
        <w:ind w:left="4320" w:leftChars="0" w:firstLine="720"/>
        <w:jc w:val="both"/>
        <w:rPr>
          <w:rFonts w:ascii="Times New Roman" w:hAnsi="Times New Roman" w:cs="Times New Roman"/>
          <w:b/>
          <w:sz w:val="24"/>
          <w:szCs w:val="24"/>
          <w:lang w:val="en-US"/>
        </w:rPr>
      </w:pPr>
      <w:r>
        <w:rPr>
          <w:rFonts w:ascii="Times New Roman" w:hAnsi="Times New Roman" w:cs="Times New Roman"/>
          <w:b/>
          <w:sz w:val="24"/>
          <w:szCs w:val="24"/>
        </w:rPr>
        <w:t xml:space="preserve">Bandung, </w:t>
      </w:r>
      <w:r>
        <w:rPr>
          <w:rFonts w:ascii="Times New Roman" w:hAnsi="Times New Roman" w:cs="Times New Roman"/>
          <w:b/>
          <w:sz w:val="24"/>
          <w:szCs w:val="24"/>
          <w:lang w:val="en-US"/>
        </w:rPr>
        <w:t>3</w:t>
      </w:r>
      <w:r>
        <w:rPr>
          <w:rFonts w:ascii="Times New Roman" w:hAnsi="Times New Roman" w:cs="Times New Roman"/>
          <w:b/>
          <w:sz w:val="24"/>
          <w:szCs w:val="24"/>
        </w:rPr>
        <w:t xml:space="preserve"> </w:t>
      </w:r>
      <w:r>
        <w:rPr>
          <w:rFonts w:ascii="Times New Roman" w:hAnsi="Times New Roman" w:cs="Times New Roman"/>
          <w:b/>
          <w:sz w:val="24"/>
          <w:szCs w:val="24"/>
          <w:lang w:val="en-US"/>
        </w:rPr>
        <w:t>April</w:t>
      </w:r>
      <w:r>
        <w:rPr>
          <w:rFonts w:ascii="Times New Roman" w:hAnsi="Times New Roman" w:cs="Times New Roman"/>
          <w:b/>
          <w:sz w:val="24"/>
          <w:szCs w:val="24"/>
        </w:rPr>
        <w:t xml:space="preserve"> 201</w:t>
      </w:r>
      <w:r>
        <w:rPr>
          <w:rFonts w:ascii="Times New Roman" w:hAnsi="Times New Roman" w:cs="Times New Roman"/>
          <w:b/>
          <w:sz w:val="24"/>
          <w:szCs w:val="24"/>
          <w:lang w:val="en-US"/>
        </w:rPr>
        <w:t>8</w:t>
      </w: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360" w:lineRule="auto"/>
        <w:ind w:left="3380" w:leftChars="0" w:firstLine="260" w:firstLineChars="0"/>
        <w:jc w:val="both"/>
        <w:rPr>
          <w:rFonts w:ascii="Times New Roman" w:hAnsi="Times New Roman" w:cs="Times New Roman"/>
          <w:b/>
          <w:sz w:val="24"/>
          <w:szCs w:val="24"/>
        </w:rPr>
      </w:pPr>
      <w:r>
        <w:rPr>
          <w:rFonts w:ascii="Times New Roman" w:hAnsi="Times New Roman" w:cs="Times New Roman"/>
          <w:b/>
          <w:sz w:val="24"/>
          <w:szCs w:val="24"/>
        </w:rPr>
        <w:t>Dr. Marojahan JS Panjaitan, S.H.,M.H.</w:t>
      </w:r>
    </w:p>
    <w:p>
      <w:pPr>
        <w:rPr>
          <w:rFonts w:ascii="Times New Roman" w:hAnsi="Times New Roman" w:cs="Times New Roman"/>
          <w:b/>
          <w:sz w:val="24"/>
          <w:szCs w:val="24"/>
        </w:rPr>
      </w:pPr>
      <w:r>
        <w:rPr>
          <w:rFonts w:ascii="Times New Roman" w:hAnsi="Times New Roman" w:cs="Times New Roman"/>
          <w:b/>
          <w:sz w:val="24"/>
          <w:szCs w:val="24"/>
        </w:rPr>
        <w:br w:type="page"/>
      </w:r>
    </w:p>
    <w:p>
      <w:pPr>
        <w:spacing w:line="240" w:lineRule="auto"/>
        <w:jc w:val="center"/>
        <w:rPr>
          <w:rFonts w:ascii="Times New Roman" w:hAnsi="Times New Roman" w:cs="Times New Roman"/>
          <w:b/>
          <w:sz w:val="24"/>
          <w:szCs w:val="24"/>
        </w:rPr>
      </w:pPr>
      <w:r>
        <w:rPr>
          <w:rFonts w:ascii="Times New Roman" w:hAnsi="Times New Roman" w:cs="Times New Roman"/>
          <w:b/>
          <w:sz w:val="24"/>
          <w:szCs w:val="24"/>
        </w:rPr>
        <w:t>PEMBATALAN PERATURAN DAERAH DAN PERATURAN KEPALA DAERAH SETELAH PUTUSAN MAHKAMAH KONSTITUSI NOMOR : 137/PUU-XIII/2015</w:t>
      </w:r>
    </w:p>
    <w:p>
      <w:pPr>
        <w:spacing w:line="240" w:lineRule="auto"/>
        <w:ind w:left="2880" w:firstLine="720"/>
        <w:jc w:val="both"/>
        <w:rPr>
          <w:rFonts w:ascii="Times New Roman" w:hAnsi="Times New Roman" w:cs="Times New Roman"/>
          <w:b/>
          <w:sz w:val="24"/>
          <w:szCs w:val="24"/>
        </w:rPr>
      </w:pPr>
      <w:r>
        <w:rPr>
          <w:rFonts w:ascii="Times New Roman" w:hAnsi="Times New Roman" w:cs="Times New Roman"/>
          <w:b/>
          <w:sz w:val="24"/>
          <w:szCs w:val="24"/>
        </w:rPr>
        <w:t>ABSTRAK</w:t>
      </w:r>
    </w:p>
    <w:p>
      <w:pPr>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rPr>
        <w:t xml:space="preserve">Penelitian ini merupakan kajian terhadap permasalahan yang bertalian dengan bagaimana </w:t>
      </w:r>
      <w:r>
        <w:rPr>
          <w:rFonts w:ascii="Times New Roman" w:hAnsi="Times New Roman" w:cs="Times New Roman"/>
          <w:b/>
          <w:sz w:val="24"/>
          <w:szCs w:val="24"/>
          <w:lang w:val="en-US"/>
        </w:rPr>
        <w:t>pembatalan Peraturan Daerah dan Perturan Kepala Daerah setelah t</w:t>
      </w:r>
      <w:r>
        <w:rPr>
          <w:rFonts w:ascii="Times New Roman" w:hAnsi="Times New Roman" w:cs="Times New Roman"/>
          <w:b/>
          <w:sz w:val="24"/>
          <w:szCs w:val="24"/>
          <w:lang w:val="sv-SE"/>
        </w:rPr>
        <w:t>erbitnya Putusan Mahkamah Konstitusi</w:t>
      </w:r>
      <w:r>
        <w:rPr>
          <w:rFonts w:ascii="Times New Roman" w:hAnsi="Times New Roman" w:cs="Times New Roman"/>
          <w:b/>
          <w:sz w:val="24"/>
          <w:szCs w:val="24"/>
        </w:rPr>
        <w:t xml:space="preserve"> No. 137/PUU-XIII/2015</w:t>
      </w:r>
      <w:r>
        <w:rPr>
          <w:rFonts w:ascii="Times New Roman" w:hAnsi="Times New Roman" w:cs="Times New Roman"/>
          <w:b/>
          <w:sz w:val="24"/>
          <w:szCs w:val="24"/>
          <w:lang w:val="en-US"/>
        </w:rPr>
        <w:t>.</w:t>
      </w:r>
      <w:r>
        <w:rPr>
          <w:rFonts w:ascii="Times New Roman" w:hAnsi="Times New Roman" w:cs="Times New Roman"/>
          <w:b/>
          <w:sz w:val="24"/>
          <w:szCs w:val="24"/>
        </w:rPr>
        <w:t xml:space="preserve"> Dalam penelitian ini yang dikaji adalah bagaimana </w:t>
      </w:r>
      <w:r>
        <w:rPr>
          <w:rFonts w:ascii="Times New Roman" w:hAnsi="Times New Roman" w:cs="Times New Roman"/>
          <w:b/>
          <w:sz w:val="24"/>
          <w:szCs w:val="24"/>
          <w:lang w:val="en-US"/>
        </w:rPr>
        <w:t>membatalkan Peraturan Daerah dan Peraturan Kepala Daerah setelah</w:t>
      </w:r>
      <w:r>
        <w:rPr>
          <w:rFonts w:ascii="Times New Roman" w:hAnsi="Times New Roman" w:cs="Times New Roman"/>
          <w:b/>
          <w:sz w:val="24"/>
          <w:szCs w:val="24"/>
          <w:lang w:val="sv-SE"/>
        </w:rPr>
        <w:t xml:space="preserve"> terbitnya Putusan Mahkamah Konstitusi</w:t>
      </w:r>
      <w:r>
        <w:rPr>
          <w:rFonts w:ascii="Times New Roman" w:hAnsi="Times New Roman" w:cs="Times New Roman"/>
          <w:b/>
          <w:sz w:val="24"/>
          <w:szCs w:val="24"/>
        </w:rPr>
        <w:t xml:space="preserve"> No. 137/PUU-XIII/2015</w:t>
      </w:r>
      <w:r>
        <w:rPr>
          <w:rFonts w:ascii="Times New Roman" w:hAnsi="Times New Roman" w:cs="Times New Roman"/>
          <w:b/>
          <w:sz w:val="24"/>
          <w:szCs w:val="24"/>
          <w:lang w:val="en-US"/>
        </w:rPr>
        <w:t xml:space="preserve">. </w:t>
      </w:r>
      <w:r>
        <w:rPr>
          <w:rFonts w:ascii="Times New Roman" w:hAnsi="Times New Roman" w:cs="Times New Roman"/>
          <w:b/>
          <w:sz w:val="24"/>
          <w:szCs w:val="24"/>
        </w:rPr>
        <w:t xml:space="preserve">Dalam penelitian ini yang dikaji adalah  </w:t>
      </w:r>
      <w:r>
        <w:rPr>
          <w:rFonts w:ascii="Times New Roman" w:hAnsi="Times New Roman" w:cs="Times New Roman"/>
          <w:b/>
          <w:sz w:val="24"/>
          <w:szCs w:val="24"/>
          <w:lang w:val="sv-SE"/>
        </w:rPr>
        <w:t>bagaimana kedudukan Peraturan Daerah dan Peraturan Kepala Daerah dalam sistem hukum nasional, bagaimana membatalkan Peraturan Daerah dan Peraturan Kepala Daerah setelah terbitnya Putusan Mahkamah Konstitusi</w:t>
      </w:r>
      <w:r>
        <w:rPr>
          <w:rFonts w:ascii="Times New Roman" w:hAnsi="Times New Roman" w:cs="Times New Roman"/>
          <w:b/>
          <w:sz w:val="24"/>
          <w:szCs w:val="24"/>
        </w:rPr>
        <w:t xml:space="preserve"> No. 137/PUU-XIII/2015</w:t>
      </w:r>
      <w:r>
        <w:rPr>
          <w:rFonts w:ascii="Times New Roman" w:hAnsi="Times New Roman" w:cs="Times New Roman"/>
          <w:b/>
          <w:sz w:val="24"/>
          <w:szCs w:val="24"/>
          <w:lang w:val="en-US"/>
        </w:rPr>
        <w:t>, dan b</w:t>
      </w:r>
      <w:r>
        <w:rPr>
          <w:rFonts w:ascii="Times New Roman" w:hAnsi="Times New Roman" w:cs="Times New Roman"/>
          <w:b/>
          <w:sz w:val="24"/>
          <w:szCs w:val="24"/>
        </w:rPr>
        <w:t xml:space="preserve">agaimana bentuk pembinaan Gubernur kepada Pemerintah Kabupaten/Kota dalam penerbitan Peraturan Daerah dan Peraturan Kepala Daerah dilakukan setelah terbitnya putusan </w:t>
      </w:r>
      <w:r>
        <w:rPr>
          <w:rFonts w:ascii="Times New Roman" w:hAnsi="Times New Roman" w:cs="Times New Roman"/>
          <w:b/>
          <w:color w:val="000000"/>
          <w:sz w:val="24"/>
          <w:szCs w:val="24"/>
        </w:rPr>
        <w:t>Mahkamah Konstitusi No. 137/PUU-XII</w:t>
      </w:r>
      <w:r>
        <w:rPr>
          <w:rFonts w:ascii="Times New Roman" w:hAnsi="Times New Roman" w:cs="Times New Roman"/>
          <w:b/>
          <w:color w:val="000000"/>
          <w:sz w:val="24"/>
          <w:szCs w:val="24"/>
          <w:lang w:val="en-US"/>
        </w:rPr>
        <w:t>I</w:t>
      </w:r>
      <w:r>
        <w:rPr>
          <w:rFonts w:ascii="Times New Roman" w:hAnsi="Times New Roman" w:cs="Times New Roman"/>
          <w:b/>
          <w:color w:val="000000"/>
          <w:sz w:val="24"/>
          <w:szCs w:val="24"/>
        </w:rPr>
        <w:t>/201</w:t>
      </w:r>
      <w:r>
        <w:rPr>
          <w:rFonts w:ascii="Times New Roman" w:hAnsi="Times New Roman" w:cs="Times New Roman"/>
          <w:b/>
          <w:sz w:val="24"/>
          <w:szCs w:val="24"/>
        </w:rPr>
        <w:t>5</w:t>
      </w:r>
      <w:r>
        <w:rPr>
          <w:rFonts w:ascii="Times New Roman" w:hAnsi="Times New Roman" w:cs="Times New Roman"/>
          <w:b/>
          <w:sz w:val="24"/>
          <w:szCs w:val="24"/>
          <w:lang w:val="en-US"/>
        </w:rPr>
        <w:t>.</w:t>
      </w:r>
    </w:p>
    <w:p>
      <w:pPr>
        <w:spacing w:after="0" w:line="240" w:lineRule="auto"/>
        <w:ind w:firstLine="720"/>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Dalam rangka penelitian ini, digunakan </w:t>
      </w:r>
      <w:r>
        <w:rPr>
          <w:rFonts w:ascii="Times New Roman" w:hAnsi="Times New Roman" w:cs="Times New Roman"/>
          <w:b/>
          <w:sz w:val="24"/>
          <w:szCs w:val="24"/>
        </w:rPr>
        <w:t xml:space="preserve">metode penelitian </w:t>
      </w:r>
      <w:r>
        <w:rPr>
          <w:rFonts w:ascii="Times New Roman" w:hAnsi="Times New Roman" w:cs="Times New Roman"/>
          <w:b/>
          <w:sz w:val="24"/>
          <w:szCs w:val="24"/>
          <w:lang w:val="en-US"/>
        </w:rPr>
        <w:t xml:space="preserve">ilmu  hukum dengan pendekatan perundang-undangan. </w:t>
      </w:r>
      <w:r>
        <w:rPr>
          <w:rFonts w:ascii="Times New Roman" w:hAnsi="Times New Roman" w:cs="Times New Roman"/>
          <w:b/>
          <w:sz w:val="24"/>
          <w:szCs w:val="24"/>
        </w:rPr>
        <w:t>Data yang diteliti adalah data sekunder berupa bahan hukum primer dan bahan hukum sekunder</w:t>
      </w:r>
      <w:r>
        <w:rPr>
          <w:rFonts w:ascii="Times New Roman" w:hAnsi="Times New Roman" w:cs="Times New Roman"/>
          <w:b/>
          <w:sz w:val="24"/>
          <w:szCs w:val="24"/>
          <w:lang w:val="en-US"/>
        </w:rPr>
        <w:t xml:space="preserve"> yang ada kaitannya dengan masalah yang diteliti</w:t>
      </w:r>
      <w:r>
        <w:rPr>
          <w:rFonts w:ascii="Times New Roman" w:hAnsi="Times New Roman" w:cs="Times New Roman"/>
          <w:b/>
          <w:sz w:val="24"/>
          <w:szCs w:val="24"/>
        </w:rPr>
        <w:t>. Bahan hukum primer adalah segala dokumen resmi yang memuat ketentuan hukum yang diteliti</w:t>
      </w:r>
      <w:r>
        <w:rPr>
          <w:rFonts w:ascii="Times New Roman" w:hAnsi="Times New Roman" w:cs="Times New Roman"/>
          <w:b/>
          <w:sz w:val="24"/>
          <w:szCs w:val="24"/>
          <w:lang w:val="en-US"/>
        </w:rPr>
        <w:t xml:space="preserve"> </w:t>
      </w:r>
      <w:r>
        <w:rPr>
          <w:rFonts w:ascii="Times New Roman" w:hAnsi="Times New Roman" w:cs="Times New Roman"/>
          <w:b/>
          <w:sz w:val="24"/>
          <w:szCs w:val="24"/>
        </w:rPr>
        <w:t>dengan pendekatan yuridis normatif dipergunakan untuk memperoleh gambaran yang lebih jelas untuk memperoleh jawaban atas permasalahan yang diteliti.</w:t>
      </w:r>
      <w:r>
        <w:rPr>
          <w:rFonts w:ascii="Times New Roman" w:hAnsi="Times New Roman" w:cs="Times New Roman"/>
          <w:b/>
          <w:sz w:val="24"/>
          <w:szCs w:val="24"/>
          <w:lang w:val="en-US"/>
        </w:rPr>
        <w:t xml:space="preserve"> Data yang diteliti dianalisa secara deskriptif analitis.</w:t>
      </w:r>
      <w:r>
        <w:rPr>
          <w:rFonts w:ascii="Times New Roman" w:hAnsi="Times New Roman" w:cs="Times New Roman"/>
          <w:b/>
          <w:sz w:val="24"/>
          <w:szCs w:val="24"/>
        </w:rPr>
        <w:t xml:space="preserve"> </w:t>
      </w:r>
    </w:p>
    <w:p>
      <w:pPr>
        <w:spacing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Penelitian ini menunjukan bahwa </w:t>
      </w:r>
      <w:r>
        <w:rPr>
          <w:rFonts w:ascii="Times New Roman" w:hAnsi="Times New Roman" w:cs="Times New Roman"/>
          <w:b/>
          <w:sz w:val="24"/>
          <w:szCs w:val="24"/>
          <w:lang w:val="en-US"/>
        </w:rPr>
        <w:t>k</w:t>
      </w:r>
      <w:r>
        <w:rPr>
          <w:rFonts w:ascii="Times New Roman" w:hAnsi="Times New Roman" w:cs="Times New Roman"/>
          <w:b/>
          <w:sz w:val="24"/>
          <w:szCs w:val="24"/>
          <w:lang w:val="sv-SE"/>
        </w:rPr>
        <w:t>edudukan Peraturan Daerah dan Peraturan Kepala Daerah dalam sistem hukum nasional dapat mengacu kepada ketentuan Pasal 18 ayat (6) UUD 1945 Jo Pasal 7 dan 8 UU No. 12 Tahun 2011. Menurut Pasal 251 UU. No. 23 Tahun 2014, pembatalan Perda dan Perkada Kabupaten/Kota kewenangannya berada pada Gubernur sebagai wakil Pemerintah Pusat. Setelah terbitnya Putusan Mahkamah Konstitusi</w:t>
      </w:r>
      <w:r>
        <w:rPr>
          <w:rFonts w:ascii="Times New Roman" w:hAnsi="Times New Roman" w:cs="Times New Roman"/>
          <w:b/>
          <w:sz w:val="24"/>
          <w:szCs w:val="24"/>
        </w:rPr>
        <w:t xml:space="preserve"> No. 137/PUU-XIII/2015</w:t>
      </w:r>
      <w:r>
        <w:rPr>
          <w:rFonts w:ascii="Times New Roman" w:hAnsi="Times New Roman" w:cs="Times New Roman"/>
          <w:b/>
          <w:sz w:val="24"/>
          <w:szCs w:val="24"/>
          <w:lang w:val="en-US"/>
        </w:rPr>
        <w:t xml:space="preserve"> kewenangan itu dicabut. Pembatalan Perda dan Perkada dilakukan melalui </w:t>
      </w:r>
      <w:r>
        <w:rPr>
          <w:rFonts w:ascii="Times New Roman" w:hAnsi="Times New Roman" w:cs="Times New Roman"/>
          <w:b/>
          <w:i/>
          <w:sz w:val="24"/>
          <w:szCs w:val="24"/>
          <w:lang w:val="en-US"/>
        </w:rPr>
        <w:t>judicial review</w:t>
      </w:r>
      <w:r>
        <w:rPr>
          <w:rFonts w:ascii="Times New Roman" w:hAnsi="Times New Roman" w:cs="Times New Roman"/>
          <w:b/>
          <w:sz w:val="24"/>
          <w:szCs w:val="24"/>
          <w:lang w:val="en-US"/>
        </w:rPr>
        <w:t xml:space="preserve"> ke Mahkamah Agung. B</w:t>
      </w:r>
      <w:r>
        <w:rPr>
          <w:rFonts w:ascii="Times New Roman" w:hAnsi="Times New Roman" w:cs="Times New Roman"/>
          <w:b/>
          <w:sz w:val="24"/>
          <w:szCs w:val="24"/>
        </w:rPr>
        <w:t xml:space="preserve">entuk pembinaan Gubernur </w:t>
      </w:r>
      <w:r>
        <w:rPr>
          <w:rFonts w:ascii="Times New Roman" w:hAnsi="Times New Roman" w:cs="Times New Roman"/>
          <w:b/>
          <w:sz w:val="24"/>
          <w:szCs w:val="24"/>
          <w:lang w:val="en-US"/>
        </w:rPr>
        <w:t xml:space="preserve">setelah terbitnya </w:t>
      </w:r>
      <w:r>
        <w:rPr>
          <w:rFonts w:ascii="Times New Roman" w:hAnsi="Times New Roman" w:cs="Times New Roman"/>
          <w:b/>
          <w:sz w:val="24"/>
          <w:szCs w:val="24"/>
        </w:rPr>
        <w:t xml:space="preserve">putusan </w:t>
      </w:r>
      <w:r>
        <w:rPr>
          <w:rFonts w:ascii="Times New Roman" w:hAnsi="Times New Roman" w:cs="Times New Roman"/>
          <w:b/>
          <w:color w:val="000000"/>
          <w:sz w:val="24"/>
          <w:szCs w:val="24"/>
        </w:rPr>
        <w:t>Mahkamah Konstitusi No. 137/PUU-XII</w:t>
      </w:r>
      <w:r>
        <w:rPr>
          <w:rFonts w:ascii="Times New Roman" w:hAnsi="Times New Roman" w:cs="Times New Roman"/>
          <w:b/>
          <w:color w:val="000000"/>
          <w:sz w:val="24"/>
          <w:szCs w:val="24"/>
          <w:lang w:val="en-US"/>
        </w:rPr>
        <w:t>I</w:t>
      </w:r>
      <w:r>
        <w:rPr>
          <w:rFonts w:ascii="Times New Roman" w:hAnsi="Times New Roman" w:cs="Times New Roman"/>
          <w:b/>
          <w:color w:val="000000"/>
          <w:sz w:val="24"/>
          <w:szCs w:val="24"/>
        </w:rPr>
        <w:t>/201</w:t>
      </w:r>
      <w:r>
        <w:rPr>
          <w:rFonts w:ascii="Times New Roman" w:hAnsi="Times New Roman" w:cs="Times New Roman"/>
          <w:b/>
          <w:sz w:val="24"/>
          <w:szCs w:val="24"/>
        </w:rPr>
        <w:t>5</w:t>
      </w:r>
      <w:r>
        <w:rPr>
          <w:rFonts w:ascii="Times New Roman" w:hAnsi="Times New Roman" w:cs="Times New Roman"/>
          <w:b/>
          <w:sz w:val="24"/>
          <w:szCs w:val="24"/>
          <w:lang w:val="en-US"/>
        </w:rPr>
        <w:t xml:space="preserve"> </w:t>
      </w:r>
      <w:r>
        <w:rPr>
          <w:rFonts w:ascii="Times New Roman" w:hAnsi="Times New Roman" w:cs="Times New Roman"/>
          <w:b/>
          <w:sz w:val="24"/>
          <w:szCs w:val="24"/>
        </w:rPr>
        <w:t>dalam penerbitan Perda dan Perkada dapat dilakukan pada saat Perda dan Perkada tersebut masih dalam tahap Rancangan.</w:t>
      </w:r>
      <w:r>
        <w:rPr>
          <w:rFonts w:ascii="Times New Roman" w:hAnsi="Times New Roman" w:cs="Times New Roman"/>
          <w:b/>
          <w:sz w:val="24"/>
          <w:szCs w:val="24"/>
          <w:lang w:val="en-US"/>
        </w:rPr>
        <w:t xml:space="preserve"> Di mana, Gubernur sebagai wakil Pemerintah Pusat melakukan pengkajian dan penelitian terhadap rancangan Perda dan Perkada sebelum ditetapkan menjadi Perda dan Perkada.</w:t>
      </w:r>
      <w:r>
        <w:rPr>
          <w:rFonts w:ascii="Times New Roman" w:hAnsi="Times New Roman" w:cs="Times New Roman"/>
          <w:b/>
          <w:sz w:val="24"/>
          <w:szCs w:val="24"/>
        </w:rPr>
        <w:t xml:space="preserve"> Hal itu sesuai dengan ketentuan Pasal 8 UU. No. 23 Tahun 2014. Cara itu untuk menghindarkan terbitnya Perda dan Perkada bermasalah. Apa bila Rancangan Perda dan Perkada sudah mendapat persetujuan Gubernur, Perda dan Perkada tersebut tidak bisa lagi dibatalkan oleh Gubernur.</w:t>
      </w:r>
    </w:p>
    <w:p>
      <w:pPr>
        <w:spacing w:line="240" w:lineRule="auto"/>
        <w:ind w:firstLine="720"/>
        <w:jc w:val="both"/>
        <w:rPr>
          <w:rFonts w:ascii="Times New Roman" w:hAnsi="Times New Roman" w:cs="Times New Roman"/>
          <w:b/>
          <w:sz w:val="24"/>
          <w:szCs w:val="24"/>
          <w:lang w:val="en-US"/>
        </w:rPr>
      </w:pPr>
    </w:p>
    <w:p>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t>PERNYATAAN</w:t>
      </w:r>
    </w:p>
    <w:p>
      <w:pPr>
        <w:spacing w:line="360" w:lineRule="auto"/>
        <w:rPr>
          <w:rFonts w:ascii="Times New Roman" w:hAnsi="Times New Roman" w:cs="Times New Roman"/>
          <w:b/>
          <w:sz w:val="24"/>
          <w:szCs w:val="24"/>
        </w:rPr>
      </w:pPr>
      <w:r>
        <w:rPr>
          <w:rFonts w:ascii="Times New Roman" w:hAnsi="Times New Roman" w:cs="Times New Roman"/>
          <w:b/>
          <w:sz w:val="24"/>
          <w:szCs w:val="24"/>
        </w:rPr>
        <w:t>Saya yang bertandatangan di bawah ini, menyatakan:</w:t>
      </w:r>
    </w:p>
    <w:p>
      <w:pPr>
        <w:pStyle w:val="9"/>
        <w:numPr>
          <w:ilvl w:val="0"/>
          <w:numId w:val="3"/>
        </w:numPr>
        <w:spacing w:line="360" w:lineRule="auto"/>
        <w:jc w:val="both"/>
        <w:rPr>
          <w:rFonts w:ascii="Times New Roman" w:hAnsi="Times New Roman" w:cs="Times New Roman"/>
          <w:b/>
          <w:sz w:val="24"/>
          <w:szCs w:val="24"/>
        </w:rPr>
      </w:pPr>
      <w:r>
        <w:rPr>
          <w:rFonts w:ascii="Times New Roman" w:hAnsi="Times New Roman" w:cs="Times New Roman"/>
          <w:b/>
          <w:sz w:val="24"/>
          <w:szCs w:val="24"/>
        </w:rPr>
        <w:t>Bahwa tulisan ini adalah merupakan laporan penelitian yang diteliti dan ditulis sendiri oleh saya dan belum pernah dipublikasikan dan diajukan untuk kepentingan lain.</w:t>
      </w:r>
    </w:p>
    <w:p>
      <w:pPr>
        <w:pStyle w:val="9"/>
        <w:numPr>
          <w:ilvl w:val="0"/>
          <w:numId w:val="3"/>
        </w:numPr>
        <w:spacing w:line="360" w:lineRule="auto"/>
        <w:jc w:val="both"/>
        <w:rPr>
          <w:rFonts w:ascii="Times New Roman" w:hAnsi="Times New Roman" w:cs="Times New Roman"/>
          <w:b/>
          <w:sz w:val="24"/>
          <w:szCs w:val="24"/>
        </w:rPr>
      </w:pPr>
      <w:r>
        <w:rPr>
          <w:rFonts w:ascii="Times New Roman" w:hAnsi="Times New Roman" w:cs="Times New Roman"/>
          <w:b/>
          <w:sz w:val="24"/>
          <w:szCs w:val="24"/>
        </w:rPr>
        <w:t>Bahwa segala gagasan dan rumusan yang diungkap dalam tulisan ini adalah murni gagasan saya sendiri, kecuali beberapa hal yang dikutip dari hasil tulisan dan penelitian orang lain yang sumbernya disebutkan dalam tulisan.</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Demikian pernyataan ini saya buat dengan sebenarnya dan apabila dikemudian hari terdapar penyimpangan dan ketidakbenaran dalam pernyataan ini, saya bersedia mempertanggungjawabkannya sesuai ketentuan perundang-undangan yang berlaku.</w:t>
      </w:r>
    </w:p>
    <w:p>
      <w:pPr>
        <w:spacing w:line="360" w:lineRule="auto"/>
        <w:ind w:left="3600" w:firstLine="720"/>
        <w:jc w:val="both"/>
        <w:rPr>
          <w:rFonts w:ascii="Times New Roman" w:hAnsi="Times New Roman" w:cs="Times New Roman"/>
          <w:b/>
          <w:sz w:val="24"/>
          <w:szCs w:val="24"/>
          <w:lang w:val="en-US"/>
        </w:rPr>
      </w:pPr>
      <w:r>
        <w:rPr>
          <w:rFonts w:ascii="Times New Roman" w:hAnsi="Times New Roman" w:cs="Times New Roman"/>
          <w:b/>
          <w:sz w:val="24"/>
          <w:szCs w:val="24"/>
        </w:rPr>
        <w:t xml:space="preserve">Bandung, </w:t>
      </w:r>
      <w:r>
        <w:rPr>
          <w:rFonts w:ascii="Times New Roman" w:hAnsi="Times New Roman" w:cs="Times New Roman"/>
          <w:b/>
          <w:sz w:val="24"/>
          <w:szCs w:val="24"/>
          <w:lang w:val="en-US"/>
        </w:rPr>
        <w:t>3</w:t>
      </w:r>
      <w:r>
        <w:rPr>
          <w:rFonts w:ascii="Times New Roman" w:hAnsi="Times New Roman" w:cs="Times New Roman"/>
          <w:b/>
          <w:sz w:val="24"/>
          <w:szCs w:val="24"/>
        </w:rPr>
        <w:t xml:space="preserve"> </w:t>
      </w:r>
      <w:r>
        <w:rPr>
          <w:rFonts w:ascii="Times New Roman" w:hAnsi="Times New Roman" w:cs="Times New Roman"/>
          <w:b/>
          <w:sz w:val="24"/>
          <w:szCs w:val="24"/>
          <w:lang w:val="en-US"/>
        </w:rPr>
        <w:t>April</w:t>
      </w:r>
      <w:r>
        <w:rPr>
          <w:rFonts w:ascii="Times New Roman" w:hAnsi="Times New Roman" w:cs="Times New Roman"/>
          <w:b/>
          <w:sz w:val="24"/>
          <w:szCs w:val="24"/>
        </w:rPr>
        <w:t xml:space="preserve"> 201</w:t>
      </w:r>
      <w:r>
        <w:rPr>
          <w:rFonts w:ascii="Times New Roman" w:hAnsi="Times New Roman" w:cs="Times New Roman"/>
          <w:b/>
          <w:sz w:val="24"/>
          <w:szCs w:val="24"/>
          <w:lang w:val="en-US"/>
        </w:rPr>
        <w:t>8</w:t>
      </w:r>
    </w:p>
    <w:p>
      <w:pPr>
        <w:spacing w:line="360" w:lineRule="auto"/>
        <w:ind w:left="3600" w:firstLine="720"/>
        <w:jc w:val="both"/>
        <w:rPr>
          <w:rFonts w:ascii="Times New Roman" w:hAnsi="Times New Roman" w:cs="Times New Roman"/>
          <w:b/>
          <w:sz w:val="24"/>
          <w:szCs w:val="24"/>
        </w:rPr>
      </w:pPr>
      <w:r>
        <w:rPr>
          <w:rFonts w:ascii="Times New Roman" w:hAnsi="Times New Roman" w:cs="Times New Roman"/>
          <w:b/>
          <w:sz w:val="24"/>
          <w:szCs w:val="24"/>
        </w:rPr>
        <w:t>Yang Membuat Pernyataan</w:t>
      </w:r>
    </w:p>
    <w:p>
      <w:pPr>
        <w:spacing w:line="360" w:lineRule="auto"/>
        <w:jc w:val="both"/>
        <w:rPr>
          <w:rFonts w:ascii="Times New Roman" w:hAnsi="Times New Roman" w:cs="Times New Roman"/>
          <w:b/>
          <w:sz w:val="24"/>
          <w:szCs w:val="24"/>
        </w:rPr>
      </w:pPr>
    </w:p>
    <w:p>
      <w:pPr>
        <w:spacing w:line="360" w:lineRule="auto"/>
        <w:jc w:val="both"/>
        <w:rPr>
          <w:rFonts w:ascii="Times New Roman" w:hAnsi="Times New Roman" w:cs="Times New Roman"/>
          <w:b/>
          <w:sz w:val="24"/>
          <w:szCs w:val="24"/>
        </w:rPr>
      </w:pPr>
    </w:p>
    <w:p>
      <w:pPr>
        <w:spacing w:line="240" w:lineRule="auto"/>
        <w:ind w:left="2880" w:firstLine="720"/>
        <w:jc w:val="both"/>
        <w:rPr>
          <w:rFonts w:ascii="Times New Roman" w:hAnsi="Times New Roman" w:cs="Times New Roman"/>
          <w:b/>
          <w:sz w:val="24"/>
          <w:szCs w:val="24"/>
        </w:rPr>
      </w:pPr>
      <w:r>
        <w:rPr>
          <w:rFonts w:ascii="Times New Roman" w:hAnsi="Times New Roman" w:cs="Times New Roman"/>
          <w:b/>
          <w:sz w:val="24"/>
          <w:szCs w:val="24"/>
          <w:u w:val="single"/>
        </w:rPr>
        <w:t>Dr. Marojahan JS Panjaitan, S.H.,M.H.</w:t>
      </w:r>
    </w:p>
    <w:p>
      <w:pPr>
        <w:spacing w:line="240" w:lineRule="auto"/>
        <w:ind w:left="3600" w:leftChars="0" w:firstLine="720"/>
        <w:jc w:val="both"/>
        <w:rPr>
          <w:rFonts w:ascii="Times New Roman" w:hAnsi="Times New Roman" w:cs="Times New Roman"/>
          <w:b/>
          <w:sz w:val="24"/>
          <w:szCs w:val="24"/>
        </w:rPr>
      </w:pPr>
      <w:r>
        <w:rPr>
          <w:rFonts w:ascii="Times New Roman" w:hAnsi="Times New Roman" w:cs="Times New Roman"/>
          <w:b/>
          <w:sz w:val="24"/>
          <w:szCs w:val="24"/>
        </w:rPr>
        <w:t>NIP. 195803131986091001</w:t>
      </w:r>
    </w:p>
    <w:p>
      <w:pPr>
        <w:spacing w:line="240" w:lineRule="auto"/>
        <w:rPr>
          <w:rFonts w:ascii="Times New Roman" w:hAnsi="Times New Roman" w:cs="Times New Roman"/>
          <w:b/>
          <w:sz w:val="24"/>
          <w:szCs w:val="24"/>
        </w:rPr>
      </w:pPr>
      <w:r>
        <w:rPr>
          <w:rFonts w:ascii="Times New Roman" w:hAnsi="Times New Roman" w:cs="Times New Roman"/>
          <w:b/>
          <w:sz w:val="24"/>
          <w:szCs w:val="24"/>
        </w:rPr>
        <w:br w:type="page"/>
      </w:r>
    </w:p>
    <w:p>
      <w:pPr>
        <w:keepNext w:val="0"/>
        <w:keepLines w:val="0"/>
        <w:pageBreakBefore w:val="0"/>
        <w:widowControl/>
        <w:tabs>
          <w:tab w:val="left" w:leader="dot" w:pos="7371"/>
        </w:tabs>
        <w:kinsoku/>
        <w:wordWrap/>
        <w:overflowPunct/>
        <w:topLinePunct w:val="0"/>
        <w:autoSpaceDE/>
        <w:autoSpaceDN/>
        <w:bidi w:val="0"/>
        <w:adjustRightInd/>
        <w:snapToGrid/>
        <w:spacing w:after="0" w:line="26" w:lineRule="atLeast"/>
        <w:jc w:val="center"/>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DAFTAR ISI</w:t>
      </w:r>
    </w:p>
    <w:p>
      <w:pPr>
        <w:keepNext w:val="0"/>
        <w:keepLines w:val="0"/>
        <w:pageBreakBefore w:val="0"/>
        <w:widowControl/>
        <w:tabs>
          <w:tab w:val="left" w:leader="dot" w:pos="7371"/>
          <w:tab w:val="left" w:leader="dot" w:pos="7938"/>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KATA PENGANTAR</w:t>
      </w:r>
    </w:p>
    <w:p>
      <w:pPr>
        <w:keepNext w:val="0"/>
        <w:keepLines w:val="0"/>
        <w:pageBreakBefore w:val="0"/>
        <w:widowControl/>
        <w:tabs>
          <w:tab w:val="left" w:leader="dot" w:pos="7371"/>
          <w:tab w:val="left" w:leader="dot" w:pos="7938"/>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ABSTRAK</w:t>
      </w:r>
    </w:p>
    <w:p>
      <w:pPr>
        <w:keepNext w:val="0"/>
        <w:keepLines w:val="0"/>
        <w:pageBreakBefore w:val="0"/>
        <w:widowControl/>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 xml:space="preserve">BAB I </w:t>
      </w:r>
      <w:r>
        <w:rPr>
          <w:rFonts w:hint="default" w:ascii="Times New Roman" w:hAnsi="Times New Roman" w:cs="Times New Roman"/>
          <w:b/>
          <w:sz w:val="24"/>
          <w:szCs w:val="24"/>
          <w:lang w:val="id-ID"/>
        </w:rPr>
        <w:t xml:space="preserve"> </w:t>
      </w:r>
      <w:r>
        <w:rPr>
          <w:rFonts w:ascii="Times New Roman" w:hAnsi="Times New Roman" w:cs="Times New Roman"/>
          <w:b/>
          <w:sz w:val="24"/>
          <w:szCs w:val="24"/>
          <w:lang w:val="en-US"/>
        </w:rPr>
        <w:t>PENDAHULUAN</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1</w:t>
      </w:r>
    </w:p>
    <w:p>
      <w:pPr>
        <w:pStyle w:val="10"/>
        <w:keepNext w:val="0"/>
        <w:keepLines w:val="0"/>
        <w:pageBreakBefore w:val="0"/>
        <w:widowControl/>
        <w:numPr>
          <w:ilvl w:val="0"/>
          <w:numId w:val="4"/>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Latar Belakang Masalah</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1</w:t>
      </w:r>
    </w:p>
    <w:p>
      <w:pPr>
        <w:pStyle w:val="10"/>
        <w:keepNext w:val="0"/>
        <w:keepLines w:val="0"/>
        <w:pageBreakBefore w:val="0"/>
        <w:widowControl/>
        <w:numPr>
          <w:ilvl w:val="0"/>
          <w:numId w:val="4"/>
        </w:numPr>
        <w:tabs>
          <w:tab w:val="left" w:leader="dot" w:pos="7371"/>
          <w:tab w:val="left" w:leader="dot" w:pos="7938"/>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Identifikasi Masalah</w:t>
      </w:r>
      <w:r>
        <w:rPr>
          <w:rFonts w:hint="default" w:ascii="Times New Roman" w:hAnsi="Times New Roman" w:cs="Times New Roman"/>
          <w:b/>
          <w:sz w:val="24"/>
          <w:szCs w:val="24"/>
          <w:lang w:val="id-ID"/>
        </w:rPr>
        <w:tab/>
      </w:r>
      <w:r>
        <w:rPr>
          <w:rFonts w:hint="default" w:ascii="Times New Roman" w:hAnsi="Times New Roman" w:cs="Times New Roman"/>
          <w:b/>
          <w:sz w:val="24"/>
          <w:szCs w:val="24"/>
          <w:lang w:val="id-ID"/>
        </w:rPr>
        <w:tab/>
      </w:r>
      <w:r>
        <w:rPr>
          <w:rFonts w:hint="default" w:ascii="Times New Roman" w:hAnsi="Times New Roman" w:cs="Times New Roman"/>
          <w:b/>
          <w:sz w:val="24"/>
          <w:szCs w:val="24"/>
          <w:lang w:val="id-ID"/>
        </w:rPr>
        <w:tab/>
      </w:r>
      <w:r>
        <w:rPr>
          <w:rFonts w:ascii="Times New Roman" w:hAnsi="Times New Roman" w:cs="Times New Roman"/>
          <w:b/>
          <w:sz w:val="24"/>
          <w:szCs w:val="24"/>
          <w:lang w:val="en-US"/>
        </w:rPr>
        <w:t>5</w:t>
      </w:r>
    </w:p>
    <w:p>
      <w:pPr>
        <w:pStyle w:val="10"/>
        <w:keepNext w:val="0"/>
        <w:keepLines w:val="0"/>
        <w:pageBreakBefore w:val="0"/>
        <w:widowControl/>
        <w:numPr>
          <w:ilvl w:val="0"/>
          <w:numId w:val="4"/>
        </w:numPr>
        <w:tabs>
          <w:tab w:val="left" w:leader="dot" w:pos="7371"/>
          <w:tab w:val="left" w:leader="dot" w:pos="7938"/>
          <w:tab w:val="left" w:leader="dot" w:pos="9071"/>
        </w:tabs>
        <w:kinsoku/>
        <w:wordWrap/>
        <w:overflowPunct/>
        <w:topLinePunct w:val="0"/>
        <w:autoSpaceDE/>
        <w:autoSpaceDN/>
        <w:bidi w:val="0"/>
        <w:adjustRightInd/>
        <w:snapToGrid/>
        <w:spacing w:after="0" w:line="26" w:lineRule="atLeast"/>
        <w:ind w:left="714" w:hanging="357"/>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Tujuan Penelitian</w:t>
      </w:r>
      <w:r>
        <w:rPr>
          <w:rFonts w:ascii="Times New Roman" w:hAnsi="Times New Roman" w:cs="Times New Roman"/>
          <w:b/>
          <w:sz w:val="24"/>
          <w:szCs w:val="24"/>
          <w:lang w:val="en-US"/>
        </w:rPr>
        <w:tab/>
      </w:r>
      <w:r>
        <w:rPr>
          <w:rFonts w:ascii="Times New Roman" w:hAnsi="Times New Roman" w:cs="Times New Roman"/>
          <w:b/>
          <w:sz w:val="24"/>
          <w:szCs w:val="24"/>
          <w:lang w:val="en-US"/>
        </w:rPr>
        <w:t>…..</w:t>
      </w:r>
      <w:r>
        <w:rPr>
          <w:rFonts w:hint="default" w:ascii="Times New Roman" w:hAnsi="Times New Roman" w:cs="Times New Roman"/>
          <w:b/>
          <w:sz w:val="24"/>
          <w:szCs w:val="24"/>
          <w:lang w:val="id-ID"/>
        </w:rPr>
        <w:tab/>
      </w:r>
      <w:r>
        <w:rPr>
          <w:rFonts w:hint="default" w:ascii="Times New Roman" w:hAnsi="Times New Roman" w:cs="Times New Roman"/>
          <w:b/>
          <w:sz w:val="24"/>
          <w:szCs w:val="24"/>
          <w:lang w:val="id-ID"/>
        </w:rPr>
        <w:tab/>
      </w:r>
      <w:r>
        <w:rPr>
          <w:rFonts w:ascii="Times New Roman" w:hAnsi="Times New Roman" w:cs="Times New Roman"/>
          <w:b/>
          <w:sz w:val="24"/>
          <w:szCs w:val="24"/>
          <w:lang w:val="en-US"/>
        </w:rPr>
        <w:t>6</w:t>
      </w:r>
    </w:p>
    <w:p>
      <w:pPr>
        <w:pStyle w:val="10"/>
        <w:keepNext w:val="0"/>
        <w:keepLines w:val="0"/>
        <w:pageBreakBefore w:val="0"/>
        <w:widowControl/>
        <w:numPr>
          <w:ilvl w:val="0"/>
          <w:numId w:val="4"/>
        </w:numPr>
        <w:tabs>
          <w:tab w:val="left" w:leader="dot" w:pos="7371"/>
          <w:tab w:val="left" w:leader="dot" w:pos="7938"/>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Kegunaan Penelitian</w:t>
      </w:r>
      <w:r>
        <w:rPr>
          <w:rFonts w:hint="default" w:ascii="Times New Roman" w:hAnsi="Times New Roman" w:cs="Times New Roman"/>
          <w:b/>
          <w:sz w:val="24"/>
          <w:szCs w:val="24"/>
          <w:lang w:val="id-ID"/>
        </w:rPr>
        <w:tab/>
      </w:r>
      <w:r>
        <w:rPr>
          <w:rFonts w:hint="default" w:ascii="Times New Roman" w:hAnsi="Times New Roman" w:cs="Times New Roman"/>
          <w:b/>
          <w:sz w:val="24"/>
          <w:szCs w:val="24"/>
          <w:lang w:val="id-ID"/>
        </w:rPr>
        <w:tab/>
      </w:r>
      <w:r>
        <w:rPr>
          <w:rFonts w:hint="default" w:ascii="Times New Roman" w:hAnsi="Times New Roman" w:cs="Times New Roman"/>
          <w:b/>
          <w:sz w:val="24"/>
          <w:szCs w:val="24"/>
          <w:lang w:val="id-ID"/>
        </w:rPr>
        <w:tab/>
      </w:r>
      <w:r>
        <w:rPr>
          <w:rFonts w:ascii="Times New Roman" w:hAnsi="Times New Roman" w:cs="Times New Roman"/>
          <w:b/>
          <w:sz w:val="24"/>
          <w:szCs w:val="24"/>
          <w:lang w:val="en-US"/>
        </w:rPr>
        <w:t>6</w:t>
      </w:r>
    </w:p>
    <w:p>
      <w:pPr>
        <w:pStyle w:val="10"/>
        <w:keepNext w:val="0"/>
        <w:keepLines w:val="0"/>
        <w:pageBreakBefore w:val="0"/>
        <w:widowControl/>
        <w:numPr>
          <w:ilvl w:val="0"/>
          <w:numId w:val="4"/>
        </w:numPr>
        <w:tabs>
          <w:tab w:val="left" w:leader="dot" w:pos="7371"/>
          <w:tab w:val="left" w:leader="dot" w:pos="7938"/>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Kerangka Pemikiran</w:t>
      </w:r>
      <w:r>
        <w:rPr>
          <w:rFonts w:hint="default" w:ascii="Times New Roman" w:hAnsi="Times New Roman" w:cs="Times New Roman"/>
          <w:b/>
          <w:sz w:val="24"/>
          <w:szCs w:val="24"/>
          <w:lang w:val="id-ID"/>
        </w:rPr>
        <w:tab/>
      </w:r>
      <w:r>
        <w:rPr>
          <w:rFonts w:hint="default" w:ascii="Times New Roman" w:hAnsi="Times New Roman" w:cs="Times New Roman"/>
          <w:b/>
          <w:sz w:val="24"/>
          <w:szCs w:val="24"/>
          <w:lang w:val="id-ID"/>
        </w:rPr>
        <w:tab/>
      </w:r>
      <w:r>
        <w:rPr>
          <w:rFonts w:hint="default" w:ascii="Times New Roman" w:hAnsi="Times New Roman" w:cs="Times New Roman"/>
          <w:b/>
          <w:sz w:val="24"/>
          <w:szCs w:val="24"/>
          <w:lang w:val="id-ID"/>
        </w:rPr>
        <w:tab/>
      </w:r>
      <w:r>
        <w:rPr>
          <w:rFonts w:ascii="Times New Roman" w:hAnsi="Times New Roman" w:cs="Times New Roman"/>
          <w:b/>
          <w:sz w:val="24"/>
          <w:szCs w:val="24"/>
          <w:lang w:val="en-US"/>
        </w:rPr>
        <w:t>6</w:t>
      </w:r>
    </w:p>
    <w:p>
      <w:pPr>
        <w:keepNext w:val="0"/>
        <w:keepLines w:val="0"/>
        <w:pageBreakBefore w:val="0"/>
        <w:widowControl/>
        <w:tabs>
          <w:tab w:val="left" w:leader="dot" w:pos="6804"/>
          <w:tab w:val="left" w:leader="dot" w:pos="7371"/>
          <w:tab w:val="left" w:leader="dot" w:pos="7938"/>
          <w:tab w:val="left" w:leader="dot" w:pos="8505"/>
          <w:tab w:val="left" w:leader="dot" w:pos="9071"/>
        </w:tabs>
        <w:kinsoku/>
        <w:wordWrap/>
        <w:overflowPunct/>
        <w:topLinePunct w:val="0"/>
        <w:autoSpaceDE/>
        <w:autoSpaceDN/>
        <w:bidi w:val="0"/>
        <w:adjustRightInd/>
        <w:snapToGrid/>
        <w:spacing w:after="160" w:line="26" w:lineRule="atLeast"/>
        <w:ind w:left="1118" w:leftChars="0" w:hanging="1118" w:firstLineChars="0"/>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BAB II</w:t>
      </w:r>
      <w:r>
        <w:rPr>
          <w:rFonts w:hint="default" w:ascii="Times New Roman" w:hAnsi="Times New Roman" w:cs="Times New Roman"/>
          <w:b/>
          <w:sz w:val="24"/>
          <w:szCs w:val="24"/>
          <w:lang w:val="id-ID"/>
        </w:rPr>
        <w:t xml:space="preserve"> </w:t>
      </w:r>
      <w:r>
        <w:rPr>
          <w:rFonts w:ascii="Times New Roman" w:hAnsi="Times New Roman" w:cs="Times New Roman"/>
          <w:b/>
          <w:sz w:val="24"/>
          <w:szCs w:val="24"/>
          <w:lang w:val="en-US"/>
        </w:rPr>
        <w:t>KAJIAN TEORITIS TERHADAP KEWENANGAN, PENGAWASAN, PEMBENTUKAN DAN PEMBATALAN PERATURAN DAERA</w:t>
      </w:r>
      <w:r>
        <w:rPr>
          <w:rFonts w:hint="default" w:ascii="Times New Roman" w:hAnsi="Times New Roman" w:cs="Times New Roman"/>
          <w:b/>
          <w:sz w:val="24"/>
          <w:szCs w:val="24"/>
          <w:lang w:val="id-ID"/>
        </w:rPr>
        <w:t>H</w:t>
      </w:r>
      <w:r>
        <w:rPr>
          <w:rFonts w:hint="default" w:ascii="Times New Roman" w:hAnsi="Times New Roman" w:cs="Times New Roman"/>
          <w:b/>
          <w:sz w:val="24"/>
          <w:szCs w:val="24"/>
          <w:lang w:val="id-ID"/>
        </w:rPr>
        <w:tab/>
      </w:r>
      <w:r>
        <w:rPr>
          <w:rFonts w:hint="default" w:ascii="Times New Roman" w:hAnsi="Times New Roman" w:cs="Times New Roman"/>
          <w:b/>
          <w:sz w:val="24"/>
          <w:szCs w:val="24"/>
          <w:lang w:val="id-ID"/>
        </w:rPr>
        <w:tab/>
      </w:r>
      <w:r>
        <w:rPr>
          <w:rFonts w:ascii="Times New Roman" w:hAnsi="Times New Roman" w:cs="Times New Roman"/>
          <w:b/>
          <w:sz w:val="24"/>
          <w:szCs w:val="24"/>
          <w:lang w:val="en-US"/>
        </w:rPr>
        <w:t>11</w:t>
      </w:r>
    </w:p>
    <w:p>
      <w:pPr>
        <w:pStyle w:val="10"/>
        <w:keepNext w:val="0"/>
        <w:keepLines w:val="0"/>
        <w:pageBreakBefore w:val="0"/>
        <w:widowControl/>
        <w:numPr>
          <w:ilvl w:val="0"/>
          <w:numId w:val="5"/>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Kewenanga</w:t>
      </w:r>
      <w:r>
        <w:rPr>
          <w:rFonts w:hint="default" w:ascii="Times New Roman" w:hAnsi="Times New Roman" w:cs="Times New Roman"/>
          <w:b/>
          <w:sz w:val="24"/>
          <w:szCs w:val="24"/>
          <w:lang w:val="id-ID"/>
        </w:rPr>
        <w:t>n</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11</w:t>
      </w:r>
    </w:p>
    <w:p>
      <w:pPr>
        <w:pStyle w:val="10"/>
        <w:keepNext w:val="0"/>
        <w:keepLines w:val="0"/>
        <w:pageBreakBefore w:val="0"/>
        <w:widowControl/>
        <w:numPr>
          <w:ilvl w:val="0"/>
          <w:numId w:val="6"/>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Istilah dan Pengertian Kewenangan</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11</w:t>
      </w:r>
    </w:p>
    <w:p>
      <w:pPr>
        <w:pStyle w:val="10"/>
        <w:keepNext w:val="0"/>
        <w:keepLines w:val="0"/>
        <w:pageBreakBefore w:val="0"/>
        <w:widowControl/>
        <w:numPr>
          <w:ilvl w:val="0"/>
          <w:numId w:val="6"/>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Sumber Kewenangan</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15</w:t>
      </w:r>
    </w:p>
    <w:p>
      <w:pPr>
        <w:pStyle w:val="10"/>
        <w:keepNext w:val="0"/>
        <w:keepLines w:val="0"/>
        <w:pageBreakBefore w:val="0"/>
        <w:widowControl/>
        <w:numPr>
          <w:ilvl w:val="0"/>
          <w:numId w:val="5"/>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Sistem Pengawasan Konstitusional</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20</w:t>
      </w:r>
    </w:p>
    <w:p>
      <w:pPr>
        <w:pStyle w:val="10"/>
        <w:keepNext w:val="0"/>
        <w:keepLines w:val="0"/>
        <w:pageBreakBefore w:val="0"/>
        <w:widowControl/>
        <w:numPr>
          <w:ilvl w:val="0"/>
          <w:numId w:val="5"/>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Pemerintahan Daerah</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24</w:t>
      </w:r>
    </w:p>
    <w:p>
      <w:pPr>
        <w:keepNext w:val="0"/>
        <w:keepLines w:val="0"/>
        <w:pageBreakBefore w:val="0"/>
        <w:widowControl/>
        <w:tabs>
          <w:tab w:val="left" w:leader="dot" w:pos="7371"/>
          <w:tab w:val="left" w:leader="dot" w:pos="7938"/>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BAB III       METODE PENELITIAN26</w:t>
      </w:r>
    </w:p>
    <w:p>
      <w:pPr>
        <w:pStyle w:val="10"/>
        <w:keepNext w:val="0"/>
        <w:keepLines w:val="0"/>
        <w:pageBreakBefore w:val="0"/>
        <w:widowControl/>
        <w:numPr>
          <w:ilvl w:val="0"/>
          <w:numId w:val="7"/>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Spesifikasi Penelitian</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26</w:t>
      </w:r>
    </w:p>
    <w:p>
      <w:pPr>
        <w:pStyle w:val="10"/>
        <w:keepNext w:val="0"/>
        <w:keepLines w:val="0"/>
        <w:pageBreakBefore w:val="0"/>
        <w:widowControl/>
        <w:numPr>
          <w:ilvl w:val="0"/>
          <w:numId w:val="7"/>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Jenis Penelitian</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26</w:t>
      </w:r>
    </w:p>
    <w:p>
      <w:pPr>
        <w:pStyle w:val="10"/>
        <w:keepNext w:val="0"/>
        <w:keepLines w:val="0"/>
        <w:pageBreakBefore w:val="0"/>
        <w:widowControl/>
        <w:numPr>
          <w:ilvl w:val="0"/>
          <w:numId w:val="7"/>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Metode Pendekatan</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27</w:t>
      </w:r>
    </w:p>
    <w:p>
      <w:pPr>
        <w:pStyle w:val="10"/>
        <w:keepNext w:val="0"/>
        <w:keepLines w:val="0"/>
        <w:pageBreakBefore w:val="0"/>
        <w:widowControl/>
        <w:numPr>
          <w:ilvl w:val="0"/>
          <w:numId w:val="7"/>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Teknik Pengumpulan Data</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27</w:t>
      </w:r>
    </w:p>
    <w:p>
      <w:pPr>
        <w:pStyle w:val="10"/>
        <w:keepNext w:val="0"/>
        <w:keepLines w:val="0"/>
        <w:pageBreakBefore w:val="0"/>
        <w:widowControl/>
        <w:numPr>
          <w:ilvl w:val="0"/>
          <w:numId w:val="7"/>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Metode Analisis Data</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27</w:t>
      </w:r>
    </w:p>
    <w:p>
      <w:pPr>
        <w:keepNext w:val="0"/>
        <w:keepLines w:val="0"/>
        <w:pageBreakBefore w:val="0"/>
        <w:widowControl/>
        <w:tabs>
          <w:tab w:val="left" w:leader="dot" w:pos="9071"/>
        </w:tabs>
        <w:kinsoku/>
        <w:wordWrap/>
        <w:overflowPunct/>
        <w:topLinePunct w:val="0"/>
        <w:autoSpaceDE/>
        <w:autoSpaceDN/>
        <w:bidi w:val="0"/>
        <w:adjustRightInd/>
        <w:snapToGrid/>
        <w:spacing w:after="0" w:line="26" w:lineRule="atLeast"/>
        <w:ind w:left="1134" w:hanging="1134"/>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BAB IV PEMBATALAN PERATURAN DAERAH DAN PERATURAN KEPALA DAERAH SETELAH PUTUSAN MAHKAMAH KONSTITUSI NOMOR 137/PUU-XIII/2015</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29</w:t>
      </w:r>
    </w:p>
    <w:p>
      <w:pPr>
        <w:pStyle w:val="10"/>
        <w:keepNext w:val="0"/>
        <w:keepLines w:val="0"/>
        <w:pageBreakBefore w:val="0"/>
        <w:widowControl/>
        <w:numPr>
          <w:ilvl w:val="0"/>
          <w:numId w:val="8"/>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Kedudukan Peraturan Daerah dan Peraturan Kepala Daerah dalam Sistem Hukum Nasional</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29</w:t>
      </w:r>
    </w:p>
    <w:p>
      <w:pPr>
        <w:pStyle w:val="10"/>
        <w:keepNext w:val="0"/>
        <w:keepLines w:val="0"/>
        <w:pageBreakBefore w:val="0"/>
        <w:widowControl/>
        <w:numPr>
          <w:ilvl w:val="0"/>
          <w:numId w:val="8"/>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Pembatalan Peraturan Daerah dan Peraturan Kepala Daerah</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31</w:t>
      </w:r>
    </w:p>
    <w:p>
      <w:pPr>
        <w:pStyle w:val="10"/>
        <w:keepNext w:val="0"/>
        <w:keepLines w:val="0"/>
        <w:pageBreakBefore w:val="0"/>
        <w:widowControl/>
        <w:numPr>
          <w:ilvl w:val="0"/>
          <w:numId w:val="9"/>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Pembatalan Peraturan Daerah dan Peraturan Kepala Daerah Menurut UU No. 23 Tahun 2014</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31</w:t>
      </w:r>
    </w:p>
    <w:p>
      <w:pPr>
        <w:pStyle w:val="10"/>
        <w:keepNext w:val="0"/>
        <w:keepLines w:val="0"/>
        <w:pageBreakBefore w:val="0"/>
        <w:widowControl/>
        <w:numPr>
          <w:ilvl w:val="0"/>
          <w:numId w:val="9"/>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Pembatalan Perda dan Perkada Setelah Putusan Mahkamah Konstitusi No. 137/PUU-XIII/2015</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36</w:t>
      </w:r>
    </w:p>
    <w:p>
      <w:pPr>
        <w:keepNext w:val="0"/>
        <w:keepLines w:val="0"/>
        <w:pageBreakBefore w:val="0"/>
        <w:widowControl/>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BAB V PENUTUP</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47</w:t>
      </w:r>
    </w:p>
    <w:p>
      <w:pPr>
        <w:pStyle w:val="10"/>
        <w:keepNext w:val="0"/>
        <w:keepLines w:val="0"/>
        <w:pageBreakBefore w:val="0"/>
        <w:widowControl/>
        <w:numPr>
          <w:ilvl w:val="0"/>
          <w:numId w:val="10"/>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Simpulan</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47</w:t>
      </w:r>
    </w:p>
    <w:p>
      <w:pPr>
        <w:pStyle w:val="10"/>
        <w:keepNext w:val="0"/>
        <w:keepLines w:val="0"/>
        <w:pageBreakBefore w:val="0"/>
        <w:widowControl/>
        <w:numPr>
          <w:ilvl w:val="0"/>
          <w:numId w:val="10"/>
        </w:numPr>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Saran-saran</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47</w:t>
      </w:r>
    </w:p>
    <w:p>
      <w:pPr>
        <w:keepNext w:val="0"/>
        <w:keepLines w:val="0"/>
        <w:pageBreakBefore w:val="0"/>
        <w:widowControl/>
        <w:tabs>
          <w:tab w:val="left" w:leader="dot" w:pos="9071"/>
        </w:tabs>
        <w:kinsoku/>
        <w:wordWrap/>
        <w:overflowPunct/>
        <w:topLinePunct w:val="0"/>
        <w:autoSpaceDE/>
        <w:autoSpaceDN/>
        <w:bidi w:val="0"/>
        <w:adjustRightInd/>
        <w:snapToGrid/>
        <w:spacing w:after="0" w:line="26" w:lineRule="atLeast"/>
        <w:jc w:val="both"/>
        <w:textAlignment w:val="auto"/>
        <w:rPr>
          <w:rFonts w:ascii="Times New Roman" w:hAnsi="Times New Roman" w:cs="Times New Roman"/>
          <w:b/>
          <w:sz w:val="24"/>
          <w:szCs w:val="24"/>
          <w:lang w:val="en-US"/>
        </w:rPr>
      </w:pPr>
      <w:r>
        <w:rPr>
          <w:rFonts w:ascii="Times New Roman" w:hAnsi="Times New Roman" w:cs="Times New Roman"/>
          <w:b/>
          <w:sz w:val="24"/>
          <w:szCs w:val="24"/>
          <w:lang w:val="en-US"/>
        </w:rPr>
        <w:t>DAFTAR PUSTAKA</w:t>
      </w:r>
      <w:r>
        <w:rPr>
          <w:rFonts w:hint="default" w:ascii="Times New Roman" w:hAnsi="Times New Roman" w:cs="Times New Roman"/>
          <w:b/>
          <w:sz w:val="24"/>
          <w:szCs w:val="24"/>
          <w:lang w:val="id-ID"/>
        </w:rPr>
        <w:tab/>
      </w:r>
      <w:r>
        <w:rPr>
          <w:rFonts w:ascii="Times New Roman" w:hAnsi="Times New Roman" w:cs="Times New Roman"/>
          <w:b/>
          <w:sz w:val="24"/>
          <w:szCs w:val="24"/>
          <w:lang w:val="en-US"/>
        </w:rPr>
        <w:t>49</w:t>
      </w:r>
    </w:p>
    <w:p>
      <w:pPr>
        <w:keepNext w:val="0"/>
        <w:keepLines w:val="0"/>
        <w:pageBreakBefore w:val="0"/>
        <w:widowControl/>
        <w:kinsoku/>
        <w:wordWrap/>
        <w:overflowPunct/>
        <w:topLinePunct w:val="0"/>
        <w:autoSpaceDE/>
        <w:autoSpaceDN/>
        <w:bidi w:val="0"/>
        <w:adjustRightInd/>
        <w:snapToGrid/>
        <w:spacing w:line="26" w:lineRule="atLeast"/>
        <w:textAlignment w:val="auto"/>
      </w:pPr>
      <w:r>
        <w:br w:type="page"/>
      </w:r>
    </w:p>
    <w:p>
      <w:pPr>
        <w:spacing w:after="20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B A B  I</w:t>
      </w:r>
    </w:p>
    <w:p>
      <w:pPr>
        <w:spacing w:after="200" w:line="720" w:lineRule="auto"/>
        <w:contextualSpacing/>
        <w:jc w:val="center"/>
        <w:rPr>
          <w:rFonts w:ascii="Times New Roman" w:hAnsi="Times New Roman" w:cs="Times New Roman"/>
          <w:b/>
          <w:sz w:val="24"/>
          <w:szCs w:val="24"/>
        </w:rPr>
      </w:pPr>
      <w:r>
        <w:rPr>
          <w:rFonts w:ascii="Times New Roman" w:hAnsi="Times New Roman" w:cs="Times New Roman"/>
          <w:b/>
          <w:sz w:val="24"/>
          <w:szCs w:val="24"/>
        </w:rPr>
        <w:t>PENDAHULUAN</w:t>
      </w:r>
    </w:p>
    <w:p>
      <w:pPr>
        <w:pStyle w:val="10"/>
        <w:numPr>
          <w:ilvl w:val="0"/>
          <w:numId w:val="11"/>
        </w:numPr>
        <w:spacing w:line="360" w:lineRule="auto"/>
        <w:ind w:left="360"/>
        <w:jc w:val="both"/>
        <w:rPr>
          <w:rFonts w:ascii="Times New Roman" w:hAnsi="Times New Roman" w:cs="Times New Roman"/>
          <w:b/>
          <w:sz w:val="24"/>
          <w:szCs w:val="24"/>
          <w:lang w:val="en-US"/>
        </w:rPr>
      </w:pPr>
      <w:r>
        <w:rPr>
          <w:rFonts w:ascii="Times New Roman" w:hAnsi="Times New Roman" w:cs="Times New Roman"/>
          <w:b/>
          <w:sz w:val="24"/>
          <w:szCs w:val="24"/>
          <w:lang w:val="en-US"/>
        </w:rPr>
        <w:t>Latar Belakang Masalah</w:t>
      </w:r>
    </w:p>
    <w:p>
      <w:pPr>
        <w:spacing w:after="0" w:line="360" w:lineRule="auto"/>
        <w:ind w:firstLine="720"/>
        <w:jc w:val="both"/>
        <w:rPr>
          <w:rFonts w:ascii="Times New Roman" w:hAnsi="Times New Roman" w:cs="Times New Roman"/>
          <w:color w:val="000000"/>
          <w:sz w:val="24"/>
          <w:szCs w:val="24"/>
        </w:rPr>
      </w:pPr>
      <w:r>
        <w:rPr>
          <w:rFonts w:ascii="Times New Roman" w:hAnsi="Times New Roman" w:cs="Times New Roman"/>
          <w:sz w:val="24"/>
          <w:szCs w:val="24"/>
        </w:rPr>
        <w:t>S</w:t>
      </w:r>
      <w:r>
        <w:rPr>
          <w:rFonts w:ascii="Times New Roman" w:hAnsi="Times New Roman" w:cs="Times New Roman"/>
          <w:color w:val="000000"/>
          <w:sz w:val="24"/>
          <w:szCs w:val="24"/>
        </w:rPr>
        <w:t xml:space="preserve">ebagaimana diamanatkan dalam Pasal 4 ayat (1) Undang-Undang Dasar 1945 bahwa Presiden adalah pemegang kekuasaan pemerintahan menurut UUD. Berdasarkan ketentuan ini, segala kebijakan penyelenggaraan pemerintahan di Indonesia berada pada Presiden. Namun demikian, tidak berarti Presiden dapat berbuat sekehendaknya. Sebab, dalam membuat kebijakan itu tidak dilakukan sendiri, tetapi dibuat secara bersama-sama dengan DPR, yang kemudian dituangkan dalam Undang-Undang (UU). Salah satu landasan Presiden dalam menjalankan pembangunan dan pemerintahan adalah UU Anggaran Pendapatan dan Belanja Negara (APBN). UU APBN ini dibuat setiap setahun sekali itu Bersama dengan DPR. Presiden sebagai kepala pemerintahan wajib tunduk dan taat kepada APBN dalam menjalankan pemerintahan dan pembangun. </w:t>
      </w:r>
    </w:p>
    <w:p>
      <w:pPr>
        <w:spacing w:after="0" w:line="36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Seiring dengan letak geografis Indonesia yang begitu luas, wilayah Indonesia dibagi menjadi Provinsi, dan provinsi dibagi menjadi Kabupaten dan Kota. Di daerah Provinsi dan Kabupaten/Kota kemudian dibentuk Pemerintahan Daerah. Pemerintah Daerah itu, untuk Provinsi terdiri dari Gubernur (disebut Kepala Daerah Provinsi) dan DPRD, dan untuk Kabupaten/Kota terdiri dari Bupati/Walikota (disebut Kepala Daerah Kabupaten/Kota) dan DPRD.</w:t>
      </w:r>
      <w:r>
        <w:rPr>
          <w:rStyle w:val="6"/>
          <w:rFonts w:ascii="Times New Roman" w:hAnsi="Times New Roman" w:cs="Times New Roman"/>
          <w:color w:val="000000"/>
          <w:sz w:val="24"/>
          <w:szCs w:val="24"/>
        </w:rPr>
        <w:footnoteReference w:id="0"/>
      </w:r>
    </w:p>
    <w:p>
      <w:pPr>
        <w:spacing w:after="0" w:line="36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Kepala daerah dan</w:t>
      </w:r>
      <w:r>
        <w:rPr>
          <w:rFonts w:ascii="Times New Roman" w:hAnsi="Times New Roman" w:cs="Times New Roman"/>
          <w:sz w:val="24"/>
          <w:szCs w:val="24"/>
        </w:rPr>
        <w:t xml:space="preserve"> </w:t>
      </w:r>
      <w:r>
        <w:rPr>
          <w:rFonts w:ascii="Times New Roman" w:hAnsi="Times New Roman" w:cs="Times New Roman"/>
          <w:color w:val="000000"/>
          <w:sz w:val="24"/>
          <w:szCs w:val="24"/>
        </w:rPr>
        <w:t>DPRD, baik di Provinsi maupun Kabupaten/Kota selaku penyelenggara Pemerintahan Daerah menerbitkan Peraturan Daerah (Perda) sebagai dasar hukum dalam menyelenggarakan Otonomi Daerah.</w:t>
      </w:r>
      <w:r>
        <w:rPr>
          <w:rStyle w:val="6"/>
          <w:rFonts w:ascii="Times New Roman" w:hAnsi="Times New Roman" w:cs="Times New Roman"/>
          <w:color w:val="000000"/>
          <w:sz w:val="24"/>
          <w:szCs w:val="24"/>
        </w:rPr>
        <w:footnoteReference w:id="1"/>
      </w:r>
      <w:r>
        <w:rPr>
          <w:rFonts w:ascii="Times New Roman" w:hAnsi="Times New Roman" w:cs="Times New Roman"/>
          <w:color w:val="000000"/>
          <w:sz w:val="24"/>
          <w:szCs w:val="24"/>
        </w:rPr>
        <w:t xml:space="preserve"> Di samping Perda, Gubernur dan Bupati/Walikota sebagai Kepala Daerah juga menerbitkan Peraturan Kepala Daerah (Perkada)</w:t>
      </w:r>
      <w:r>
        <w:rPr>
          <w:rStyle w:val="6"/>
          <w:rFonts w:ascii="Times New Roman" w:hAnsi="Times New Roman" w:cs="Times New Roman"/>
          <w:color w:val="000000"/>
          <w:sz w:val="24"/>
          <w:szCs w:val="24"/>
        </w:rPr>
        <w:footnoteReference w:id="2"/>
      </w:r>
      <w:r>
        <w:rPr>
          <w:rFonts w:ascii="Times New Roman" w:hAnsi="Times New Roman" w:cs="Times New Roman"/>
          <w:color w:val="000000"/>
          <w:sz w:val="24"/>
          <w:szCs w:val="24"/>
        </w:rPr>
        <w:t xml:space="preserve"> untuk melaksanakan Perda. Perda dan Perkada tersebut hanya berlaku dalam batas-batas</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yurisdiksi daerah yang bersangkutan. </w:t>
      </w:r>
      <w:r>
        <w:rPr>
          <w:rFonts w:ascii="Times New Roman" w:hAnsi="Times New Roman" w:cs="Times New Roman"/>
          <w:color w:val="000000"/>
          <w:sz w:val="24"/>
          <w:szCs w:val="24"/>
          <w:lang w:val="id-ID"/>
        </w:rPr>
        <w:t>Perda</w:t>
      </w:r>
      <w:r>
        <w:rPr>
          <w:rFonts w:ascii="Times New Roman" w:hAnsi="Times New Roman" w:cs="Times New Roman"/>
          <w:color w:val="000000"/>
          <w:sz w:val="24"/>
          <w:szCs w:val="24"/>
        </w:rPr>
        <w:t xml:space="preserve"> dan Perkada</w:t>
      </w:r>
      <w:r>
        <w:rPr>
          <w:rFonts w:ascii="Times New Roman" w:hAnsi="Times New Roman" w:cs="Times New Roman"/>
          <w:color w:val="000000"/>
          <w:sz w:val="24"/>
          <w:szCs w:val="24"/>
          <w:lang w:val="id-ID"/>
        </w:rPr>
        <w:t xml:space="preserve"> yang dibentuk itu merupakan pengejawantahan kebijakan </w:t>
      </w:r>
      <w:r>
        <w:rPr>
          <w:rFonts w:ascii="Times New Roman" w:hAnsi="Times New Roman" w:cs="Times New Roman"/>
          <w:color w:val="000000"/>
          <w:sz w:val="24"/>
          <w:szCs w:val="24"/>
        </w:rPr>
        <w:t>Presiden</w:t>
      </w:r>
      <w:r>
        <w:rPr>
          <w:rFonts w:ascii="Times New Roman" w:hAnsi="Times New Roman" w:cs="Times New Roman"/>
          <w:color w:val="000000"/>
          <w:sz w:val="24"/>
          <w:szCs w:val="24"/>
          <w:lang w:val="id-ID"/>
        </w:rPr>
        <w:t xml:space="preserve"> dalam melaksanakan pemerintahan dan pembangunan di daerah. </w:t>
      </w:r>
      <w:r>
        <w:rPr>
          <w:rFonts w:ascii="Times New Roman" w:hAnsi="Times New Roman" w:cs="Times New Roman"/>
          <w:color w:val="000000"/>
          <w:sz w:val="24"/>
          <w:szCs w:val="24"/>
        </w:rPr>
        <w:t>Oleh karena itu, seyogianya Perda dan Perkada tidak boleh bertentangan dengan kebijakan Presiden sebagaimana ditetapkan dalam UU APBN, ketentuan peraturan perundang-undangan yang lebih</w:t>
      </w:r>
      <w:r>
        <w:rPr>
          <w:rFonts w:ascii="Times New Roman" w:hAnsi="Times New Roman" w:cs="Times New Roman"/>
          <w:sz w:val="24"/>
          <w:szCs w:val="24"/>
        </w:rPr>
        <w:t xml:space="preserve"> </w:t>
      </w:r>
      <w:r>
        <w:rPr>
          <w:rFonts w:ascii="Times New Roman" w:hAnsi="Times New Roman" w:cs="Times New Roman"/>
          <w:color w:val="000000"/>
          <w:sz w:val="24"/>
          <w:szCs w:val="24"/>
        </w:rPr>
        <w:t>tinggi tingkatannya sesuai dengan hierarki peraturan perundang-undangan sebagaimana diatur dalam Pasal 7 ayat (1) Undang-Undang Nomor 12 Tahun 2011 tentang Pembentukan Peraturan Perundang-undangan, serta tidak boleh bertentangan dengan</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kepentingan umum, kesusilaan. Hal ini merupakan ketentuan yang harus dipatuhi oleh Pemerintah Daerah dan DPRD dalam penerbitan setiap Perda dan Perkada. </w:t>
      </w:r>
    </w:p>
    <w:p>
      <w:pPr>
        <w:spacing w:after="0" w:line="36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Terhadap apa yang telah disebutkan di atas, ternyata pada tataran inplementatif sering disimpangi. Malah seperti dikatakan oleh Ni’matul Huda bahwa banyak muncul Peraturan Daerah yang “aneh-aneh”. Terkadang malah ada Perda yang jelas bertentangan dengan peraturan perundang-undangan yang lebih tinggi, bertentangan dengan kebijakan nasional, bertentangan dengan sistem hukum nasional, serta ada yang jelas-jelas bertentangan dengan prinsip daya saing perekonomian. Akibatnya, investasi menjadi terhambat masuk ke daerah.</w:t>
      </w:r>
      <w:r>
        <w:rPr>
          <w:rStyle w:val="6"/>
          <w:rFonts w:ascii="Times New Roman" w:hAnsi="Times New Roman" w:cs="Times New Roman"/>
          <w:color w:val="000000"/>
          <w:sz w:val="24"/>
          <w:szCs w:val="24"/>
        </w:rPr>
        <w:footnoteReference w:id="3"/>
      </w:r>
      <w:r>
        <w:rPr>
          <w:rFonts w:ascii="Times New Roman" w:hAnsi="Times New Roman" w:cs="Times New Roman"/>
          <w:color w:val="000000"/>
          <w:sz w:val="24"/>
          <w:szCs w:val="24"/>
        </w:rPr>
        <w:t xml:space="preserve"> Hal ini tentu sangat menghambat dalam pelaksanaan pembangunan di daerah.</w:t>
      </w:r>
    </w:p>
    <w:p>
      <w:pPr>
        <w:spacing w:after="0" w:line="360" w:lineRule="auto"/>
        <w:ind w:firstLine="720"/>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Seiring dengan proposisi dikemukakan di atas, konsekuensi logisnya </w:t>
      </w:r>
      <w:r>
        <w:rPr>
          <w:rFonts w:ascii="Times New Roman" w:hAnsi="Times New Roman" w:cs="Times New Roman"/>
          <w:color w:val="000000"/>
          <w:sz w:val="24"/>
          <w:szCs w:val="24"/>
          <w:lang w:val="id-ID"/>
        </w:rPr>
        <w:t xml:space="preserve">apabila ada </w:t>
      </w:r>
      <w:r>
        <w:rPr>
          <w:rFonts w:ascii="Times New Roman" w:hAnsi="Times New Roman" w:cs="Times New Roman"/>
          <w:color w:val="000000"/>
          <w:sz w:val="24"/>
          <w:szCs w:val="24"/>
        </w:rPr>
        <w:t>Perda</w:t>
      </w:r>
      <w:r>
        <w:rPr>
          <w:rFonts w:ascii="Times New Roman" w:hAnsi="Times New Roman" w:cs="Times New Roman"/>
          <w:color w:val="000000"/>
          <w:sz w:val="24"/>
          <w:szCs w:val="24"/>
          <w:lang w:val="id-ID"/>
        </w:rPr>
        <w:t xml:space="preserve"> </w:t>
      </w:r>
      <w:r>
        <w:rPr>
          <w:rFonts w:ascii="Times New Roman" w:hAnsi="Times New Roman" w:cs="Times New Roman"/>
          <w:color w:val="000000"/>
          <w:sz w:val="24"/>
          <w:szCs w:val="24"/>
        </w:rPr>
        <w:t xml:space="preserve">dan Perkada </w:t>
      </w:r>
      <w:r>
        <w:rPr>
          <w:rFonts w:ascii="Times New Roman" w:hAnsi="Times New Roman" w:cs="Times New Roman"/>
          <w:color w:val="000000"/>
          <w:sz w:val="24"/>
          <w:szCs w:val="24"/>
          <w:lang w:val="id-ID"/>
        </w:rPr>
        <w:t xml:space="preserve">yang bertentangan dengan kebijakan </w:t>
      </w:r>
      <w:r>
        <w:rPr>
          <w:rFonts w:ascii="Times New Roman" w:hAnsi="Times New Roman" w:cs="Times New Roman"/>
          <w:color w:val="000000"/>
          <w:sz w:val="24"/>
          <w:szCs w:val="24"/>
        </w:rPr>
        <w:t>Presiden</w:t>
      </w:r>
      <w:r>
        <w:rPr>
          <w:rFonts w:ascii="Times New Roman" w:hAnsi="Times New Roman" w:cs="Times New Roman"/>
          <w:color w:val="000000"/>
          <w:sz w:val="24"/>
          <w:szCs w:val="24"/>
          <w:lang w:val="id-ID"/>
        </w:rPr>
        <w:t xml:space="preserve"> serta tidak sesuai dengan kaidah pembentukan </w:t>
      </w:r>
      <w:r>
        <w:rPr>
          <w:rFonts w:ascii="Times New Roman" w:hAnsi="Times New Roman" w:cs="Times New Roman"/>
          <w:color w:val="000000"/>
          <w:sz w:val="24"/>
          <w:szCs w:val="24"/>
        </w:rPr>
        <w:t>Perda dan Perkada,</w:t>
      </w:r>
      <w:r>
        <w:rPr>
          <w:rStyle w:val="6"/>
          <w:rFonts w:ascii="Times New Roman" w:hAnsi="Times New Roman" w:cs="Times New Roman"/>
          <w:color w:val="000000"/>
          <w:sz w:val="24"/>
          <w:szCs w:val="24"/>
          <w:lang w:val="id-ID"/>
        </w:rPr>
        <w:footnoteReference w:id="4"/>
      </w:r>
      <w:r>
        <w:rPr>
          <w:rFonts w:ascii="Times New Roman" w:hAnsi="Times New Roman" w:cs="Times New Roman"/>
          <w:color w:val="000000"/>
          <w:sz w:val="24"/>
          <w:szCs w:val="24"/>
        </w:rPr>
        <w:t xml:space="preserve"> kewenangan untuk membatalkan</w:t>
      </w:r>
      <w:r>
        <w:rPr>
          <w:rFonts w:ascii="Times New Roman" w:hAnsi="Times New Roman" w:cs="Times New Roman"/>
          <w:color w:val="000000"/>
          <w:sz w:val="24"/>
          <w:szCs w:val="24"/>
          <w:lang w:val="id-ID"/>
        </w:rPr>
        <w:t>nya berada pada</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Presiden. Hanya, </w:t>
      </w:r>
      <w:r>
        <w:rPr>
          <w:rFonts w:ascii="Times New Roman" w:hAnsi="Times New Roman" w:cs="Times New Roman"/>
          <w:color w:val="000000"/>
          <w:sz w:val="24"/>
          <w:szCs w:val="24"/>
          <w:lang w:val="id-ID"/>
        </w:rPr>
        <w:t xml:space="preserve">karena </w:t>
      </w:r>
      <w:r>
        <w:rPr>
          <w:rFonts w:ascii="Times New Roman" w:hAnsi="Times New Roman" w:cs="Times New Roman"/>
          <w:color w:val="000000"/>
          <w:sz w:val="24"/>
          <w:szCs w:val="24"/>
        </w:rPr>
        <w:t>melihat lingkup tugas Presiden yang begitu luas, tidak mungkin hal itu dilakukan sendiri. Oleh karena itu, khusus untuk Perda dan Perkada Provinsi kewenangan pembatalannya dilimpahkan kepada Kementerian Dalam Negeri (Kemendagri), dan untuk Perda dan Perkada Kabupaten/Kota diserahkan kepada Gubernur sebagai wakil Pemerintah Pusat.</w:t>
      </w:r>
      <w:r>
        <w:rPr>
          <w:rStyle w:val="6"/>
          <w:rFonts w:ascii="Times New Roman" w:hAnsi="Times New Roman" w:cs="Times New Roman"/>
          <w:color w:val="000000"/>
          <w:sz w:val="24"/>
          <w:szCs w:val="24"/>
        </w:rPr>
        <w:footnoteReference w:id="5"/>
      </w:r>
      <w:r>
        <w:rPr>
          <w:rFonts w:ascii="Times New Roman" w:hAnsi="Times New Roman" w:cs="Times New Roman"/>
          <w:color w:val="000000"/>
          <w:sz w:val="24"/>
          <w:szCs w:val="24"/>
        </w:rPr>
        <w:t xml:space="preserve">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color w:val="000000"/>
          <w:sz w:val="24"/>
          <w:szCs w:val="24"/>
        </w:rPr>
        <w:t>Untuk menghindari terjadinya kesewenang-wenangan dalam pembatalan Perda dan Perkada, Pemerintah</w:t>
      </w:r>
      <w:r>
        <w:rPr>
          <w:rFonts w:ascii="Times New Roman" w:hAnsi="Times New Roman" w:cs="Times New Roman"/>
          <w:sz w:val="24"/>
          <w:szCs w:val="24"/>
        </w:rPr>
        <w:t xml:space="preserve"> </w:t>
      </w:r>
      <w:r>
        <w:rPr>
          <w:rFonts w:ascii="Times New Roman" w:hAnsi="Times New Roman" w:cs="Times New Roman"/>
          <w:color w:val="000000"/>
          <w:sz w:val="24"/>
          <w:szCs w:val="24"/>
        </w:rPr>
        <w:t>Daerah Provinsi dapat mengajukan keberatan pembatalan Perda Provinsi dan Perkada kepada Presiden, dan Pemerintah Daerah Kabupaten/kota mengajukan</w:t>
      </w:r>
      <w:r>
        <w:rPr>
          <w:rFonts w:ascii="Times New Roman" w:hAnsi="Times New Roman" w:cs="Times New Roman"/>
          <w:sz w:val="24"/>
          <w:szCs w:val="24"/>
        </w:rPr>
        <w:t xml:space="preserve"> </w:t>
      </w:r>
      <w:r>
        <w:rPr>
          <w:rFonts w:ascii="Times New Roman" w:hAnsi="Times New Roman" w:cs="Times New Roman"/>
          <w:color w:val="000000"/>
          <w:sz w:val="24"/>
          <w:szCs w:val="24"/>
        </w:rPr>
        <w:t>keberatan kepada kepada Kemendagri. Dilihat dari sisi penyelenggaraan Pemerintahan Daerah, keputusan yang diambil</w:t>
      </w:r>
      <w:r>
        <w:rPr>
          <w:rFonts w:ascii="Times New Roman" w:hAnsi="Times New Roman" w:cs="Times New Roman"/>
          <w:sz w:val="24"/>
          <w:szCs w:val="24"/>
        </w:rPr>
        <w:t xml:space="preserve"> </w:t>
      </w:r>
      <w:r>
        <w:rPr>
          <w:rFonts w:ascii="Times New Roman" w:hAnsi="Times New Roman" w:cs="Times New Roman"/>
          <w:color w:val="000000"/>
          <w:sz w:val="24"/>
          <w:szCs w:val="24"/>
        </w:rPr>
        <w:t>oleh Presiden dan Menteri bersifat final.</w:t>
      </w:r>
      <w:r>
        <w:rPr>
          <w:rFonts w:ascii="Times New Roman" w:hAnsi="Times New Roman" w:cs="Times New Roman"/>
          <w:sz w:val="24"/>
          <w:szCs w:val="24"/>
        </w:rPr>
        <w:t xml:space="preserve"> </w:t>
      </w:r>
    </w:p>
    <w:p>
      <w:pPr>
        <w:spacing w:after="0" w:line="36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Dalam rangka menciptakan tertib administrasi pelaporan Perda dan Perkada, setiap Perda dan Perkada yang akan</w:t>
      </w:r>
      <w:r>
        <w:rPr>
          <w:rFonts w:ascii="Times New Roman" w:hAnsi="Times New Roman" w:cs="Times New Roman"/>
          <w:sz w:val="24"/>
          <w:szCs w:val="24"/>
        </w:rPr>
        <w:t xml:space="preserve"> </w:t>
      </w:r>
      <w:r>
        <w:rPr>
          <w:rFonts w:ascii="Times New Roman" w:hAnsi="Times New Roman" w:cs="Times New Roman"/>
          <w:color w:val="000000"/>
          <w:sz w:val="24"/>
          <w:szCs w:val="24"/>
        </w:rPr>
        <w:t>diundangkan harus mendapatkan nomor register terlebih dahulu. Perda dan Perkada Provinsi harus</w:t>
      </w:r>
      <w:r>
        <w:rPr>
          <w:rFonts w:ascii="Times New Roman" w:hAnsi="Times New Roman" w:cs="Times New Roman"/>
          <w:sz w:val="24"/>
          <w:szCs w:val="24"/>
        </w:rPr>
        <w:t xml:space="preserve"> </w:t>
      </w:r>
      <w:r>
        <w:rPr>
          <w:rFonts w:ascii="Times New Roman" w:hAnsi="Times New Roman" w:cs="Times New Roman"/>
          <w:color w:val="000000"/>
          <w:sz w:val="24"/>
          <w:szCs w:val="24"/>
        </w:rPr>
        <w:t>mendapatkan nomor register dari Kementerian, sedangkan Perda dan Perkada Kabupaten/Kota mendapatkan</w:t>
      </w:r>
      <w:r>
        <w:rPr>
          <w:rFonts w:ascii="Times New Roman" w:hAnsi="Times New Roman" w:cs="Times New Roman"/>
          <w:sz w:val="24"/>
          <w:szCs w:val="24"/>
        </w:rPr>
        <w:t xml:space="preserve"> </w:t>
      </w:r>
      <w:r>
        <w:rPr>
          <w:rFonts w:ascii="Times New Roman" w:hAnsi="Times New Roman" w:cs="Times New Roman"/>
          <w:color w:val="000000"/>
          <w:sz w:val="24"/>
          <w:szCs w:val="24"/>
        </w:rPr>
        <w:t>nomor register dari Gubernur sebagai wakil Pemerintah Pusat. Dengan adanya pemberian nomor</w:t>
      </w:r>
      <w:r>
        <w:rPr>
          <w:rFonts w:ascii="Times New Roman" w:hAnsi="Times New Roman" w:cs="Times New Roman"/>
          <w:sz w:val="24"/>
          <w:szCs w:val="24"/>
        </w:rPr>
        <w:t xml:space="preserve"> </w:t>
      </w:r>
      <w:r>
        <w:rPr>
          <w:rFonts w:ascii="Times New Roman" w:hAnsi="Times New Roman" w:cs="Times New Roman"/>
          <w:color w:val="000000"/>
          <w:sz w:val="24"/>
          <w:szCs w:val="24"/>
        </w:rPr>
        <w:t>register tersebut akan terhimpun informasi mengenai keseluruhan Perda dan Perkada yang dibentuk oleh</w:t>
      </w:r>
      <w:r>
        <w:rPr>
          <w:rFonts w:ascii="Times New Roman" w:hAnsi="Times New Roman" w:cs="Times New Roman"/>
          <w:sz w:val="24"/>
          <w:szCs w:val="24"/>
        </w:rPr>
        <w:t xml:space="preserve"> </w:t>
      </w:r>
      <w:r>
        <w:rPr>
          <w:rFonts w:ascii="Times New Roman" w:hAnsi="Times New Roman" w:cs="Times New Roman"/>
          <w:color w:val="000000"/>
          <w:sz w:val="24"/>
          <w:szCs w:val="24"/>
        </w:rPr>
        <w:t>Daerah dan sekaligus juga informasi Perda dan Perkada secara nasional.</w:t>
      </w:r>
    </w:p>
    <w:p>
      <w:pPr>
        <w:spacing w:after="0" w:line="360" w:lineRule="auto"/>
        <w:ind w:firstLine="720"/>
        <w:jc w:val="both"/>
        <w:rPr>
          <w:rFonts w:ascii="Times New Roman" w:hAnsi="Times New Roman" w:cs="Times New Roman"/>
          <w:sz w:val="24"/>
          <w:szCs w:val="24"/>
        </w:rPr>
      </w:pPr>
      <w:r>
        <w:rPr>
          <w:rFonts w:ascii="Times New Roman" w:hAnsi="Times New Roman" w:cs="Times New Roman"/>
          <w:color w:val="000000"/>
          <w:sz w:val="24"/>
          <w:szCs w:val="24"/>
          <w:lang w:val="id-ID"/>
        </w:rPr>
        <w:t xml:space="preserve">Terhadap mekanisme pembatalan </w:t>
      </w:r>
      <w:r>
        <w:rPr>
          <w:rFonts w:ascii="Times New Roman" w:hAnsi="Times New Roman" w:cs="Times New Roman"/>
          <w:color w:val="000000"/>
          <w:sz w:val="24"/>
          <w:szCs w:val="24"/>
        </w:rPr>
        <w:t xml:space="preserve"> Perda dan Perkada </w:t>
      </w:r>
      <w:r>
        <w:rPr>
          <w:rFonts w:ascii="Times New Roman" w:hAnsi="Times New Roman" w:cs="Times New Roman"/>
          <w:color w:val="000000"/>
          <w:sz w:val="24"/>
          <w:szCs w:val="24"/>
          <w:lang w:val="id-ID"/>
        </w:rPr>
        <w:t xml:space="preserve">sebagaimana </w:t>
      </w:r>
      <w:r>
        <w:rPr>
          <w:rFonts w:ascii="Times New Roman" w:hAnsi="Times New Roman" w:cs="Times New Roman"/>
          <w:color w:val="000000"/>
          <w:sz w:val="24"/>
          <w:szCs w:val="24"/>
        </w:rPr>
        <w:t>diatur dalam Pasal 251 UU No. 23 Tahun 2014</w:t>
      </w:r>
      <w:r>
        <w:rPr>
          <w:rFonts w:ascii="Times New Roman" w:hAnsi="Times New Roman" w:cs="Times New Roman"/>
          <w:color w:val="000000"/>
          <w:sz w:val="24"/>
          <w:szCs w:val="24"/>
          <w:lang w:val="id-ID"/>
        </w:rPr>
        <w:t xml:space="preserve"> </w:t>
      </w:r>
      <w:r>
        <w:rPr>
          <w:rFonts w:ascii="Times New Roman" w:hAnsi="Times New Roman" w:cs="Times New Roman"/>
          <w:color w:val="000000"/>
          <w:sz w:val="24"/>
          <w:szCs w:val="24"/>
        </w:rPr>
        <w:t>ternyata banyak dari Pemerintah Daerah yang tidak setuju</w:t>
      </w:r>
      <w:r>
        <w:rPr>
          <w:rFonts w:ascii="Times New Roman" w:hAnsi="Times New Roman" w:cs="Times New Roman"/>
          <w:color w:val="000000"/>
          <w:sz w:val="24"/>
          <w:szCs w:val="24"/>
          <w:lang w:val="id-ID"/>
        </w:rPr>
        <w:t xml:space="preserve">. </w:t>
      </w:r>
      <w:r>
        <w:rPr>
          <w:rFonts w:ascii="Times New Roman" w:hAnsi="Times New Roman" w:cs="Times New Roman"/>
          <w:color w:val="000000"/>
          <w:sz w:val="24"/>
          <w:szCs w:val="24"/>
        </w:rPr>
        <w:t>Oleh k</w:t>
      </w:r>
      <w:r>
        <w:rPr>
          <w:rFonts w:ascii="Times New Roman" w:hAnsi="Times New Roman" w:cs="Times New Roman"/>
          <w:color w:val="000000"/>
          <w:sz w:val="24"/>
          <w:szCs w:val="24"/>
          <w:lang w:val="id-ID"/>
        </w:rPr>
        <w:t>arena itu,</w:t>
      </w:r>
      <w:r>
        <w:rPr>
          <w:rFonts w:ascii="Times New Roman" w:hAnsi="Times New Roman" w:cs="Times New Roman"/>
          <w:color w:val="000000"/>
          <w:sz w:val="24"/>
          <w:szCs w:val="24"/>
        </w:rPr>
        <w:t xml:space="preserve"> mereka mengajukan uji materiel ke Mahkamah Konstitusi sebagaimana telah diputus dalam Perkara Mahkamah Konstitusi No.</w:t>
      </w:r>
      <w:r>
        <w:rPr>
          <w:rFonts w:ascii="Times New Roman" w:hAnsi="Times New Roman" w:cs="Times New Roman"/>
          <w:color w:val="000000"/>
          <w:sz w:val="24"/>
          <w:szCs w:val="24"/>
          <w:lang w:val="id-ID"/>
        </w:rPr>
        <w:t xml:space="preserve"> </w:t>
      </w:r>
      <w:r>
        <w:rPr>
          <w:rFonts w:ascii="Times New Roman" w:hAnsi="Times New Roman" w:cs="Times New Roman"/>
          <w:color w:val="000000"/>
          <w:sz w:val="24"/>
          <w:szCs w:val="24"/>
        </w:rPr>
        <w:t>137/PUU-XIII/201</w:t>
      </w:r>
      <w:r>
        <w:rPr>
          <w:rFonts w:ascii="Times New Roman" w:hAnsi="Times New Roman" w:cs="Times New Roman"/>
          <w:color w:val="000000"/>
          <w:sz w:val="24"/>
          <w:szCs w:val="24"/>
          <w:lang w:val="id-ID"/>
        </w:rPr>
        <w:t>5</w:t>
      </w:r>
      <w:r>
        <w:rPr>
          <w:rFonts w:ascii="Times New Roman" w:hAnsi="Times New Roman" w:cs="Times New Roman"/>
          <w:color w:val="000000"/>
          <w:sz w:val="24"/>
          <w:szCs w:val="24"/>
        </w:rPr>
        <w:t>.</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Berdasarkan putusan MK ini, khusus kewenangan Gubernur untuk membatalkan </w:t>
      </w:r>
      <w:r>
        <w:rPr>
          <w:rFonts w:ascii="Times New Roman" w:hAnsi="Times New Roman" w:cs="Times New Roman"/>
          <w:sz w:val="24"/>
          <w:szCs w:val="24"/>
          <w:lang w:val="id-ID"/>
        </w:rPr>
        <w:t>Perda</w:t>
      </w:r>
      <w:r>
        <w:rPr>
          <w:rFonts w:ascii="Times New Roman" w:hAnsi="Times New Roman" w:cs="Times New Roman"/>
          <w:sz w:val="24"/>
          <w:szCs w:val="24"/>
        </w:rPr>
        <w:t xml:space="preserve"> dan Perkada yang diterbitkan Kabupaten/Kota dicabut. Pembatalan Perda dan Perkada Kabupaten/ Kota hanya dapat dilakukan melalui pengujian ke Mahkamah Agung.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lang w:val="id-ID"/>
        </w:rPr>
        <w:t xml:space="preserve">utusan Mahkamah Konstitusi </w:t>
      </w:r>
      <w:r>
        <w:rPr>
          <w:rFonts w:ascii="Times New Roman" w:hAnsi="Times New Roman" w:cs="Times New Roman"/>
          <w:sz w:val="24"/>
          <w:szCs w:val="24"/>
        </w:rPr>
        <w:t>ini, tentu mengikat dan harus ditaati. Sebagai sebuah keputusan hukum yang mengikat, tentu</w:t>
      </w:r>
      <w:r>
        <w:rPr>
          <w:rFonts w:ascii="Times New Roman" w:hAnsi="Times New Roman" w:cs="Times New Roman"/>
          <w:sz w:val="24"/>
          <w:szCs w:val="24"/>
          <w:lang w:val="id-ID"/>
        </w:rPr>
        <w:t xml:space="preserve"> berdampak dalam penyelenggaraan pemerintahan daerah</w:t>
      </w:r>
      <w:r>
        <w:rPr>
          <w:rFonts w:ascii="Times New Roman" w:hAnsi="Times New Roman" w:cs="Times New Roman"/>
          <w:sz w:val="24"/>
          <w:szCs w:val="24"/>
        </w:rPr>
        <w:t>, khususnya dalam penyelenggaraan pemerintahan daerah di Kabupaten/Kota. Sebab, Gubernur sebagai wakil pemerintah pusat di daerah yang sebelumnya diberi kewenangan untuk membatalkan Perda dan Perkada di Kabupaten/kota</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dengan terbitnya </w:t>
      </w:r>
      <w:r>
        <w:rPr>
          <w:rFonts w:ascii="Times New Roman" w:hAnsi="Times New Roman" w:cs="Times New Roman"/>
          <w:sz w:val="24"/>
          <w:szCs w:val="24"/>
          <w:lang w:val="id-ID"/>
        </w:rPr>
        <w:t xml:space="preserve">putusan </w:t>
      </w:r>
      <w:r>
        <w:rPr>
          <w:rFonts w:ascii="Times New Roman" w:hAnsi="Times New Roman" w:cs="Times New Roman"/>
          <w:color w:val="000000"/>
          <w:sz w:val="24"/>
          <w:szCs w:val="24"/>
        </w:rPr>
        <w:t>Mahkamah Konstitusi No. 137/PUU-XII/201</w:t>
      </w:r>
      <w:r>
        <w:rPr>
          <w:rFonts w:ascii="Times New Roman" w:hAnsi="Times New Roman" w:cs="Times New Roman"/>
          <w:color w:val="000000"/>
          <w:sz w:val="24"/>
          <w:szCs w:val="24"/>
          <w:lang w:val="id-ID"/>
        </w:rPr>
        <w:t>5</w:t>
      </w:r>
      <w:r>
        <w:rPr>
          <w:rFonts w:ascii="Times New Roman" w:hAnsi="Times New Roman" w:cs="Times New Roman"/>
          <w:color w:val="000000"/>
          <w:sz w:val="24"/>
          <w:szCs w:val="24"/>
        </w:rPr>
        <w:t xml:space="preserve"> kewenangan itu tidak bisa dipergunakan lagi</w:t>
      </w:r>
      <w:r>
        <w:rPr>
          <w:rFonts w:ascii="Times New Roman" w:hAnsi="Times New Roman" w:cs="Times New Roman"/>
          <w:sz w:val="24"/>
          <w:szCs w:val="24"/>
        </w:rPr>
        <w:t xml:space="preserve">. Memang diberi peluang kepada Gubernur untuk membatalkan Perda dan Perkada yang dianggap bermasalah itu ke Mahkamah Agung, tetapi hal ini tentu akan memakan waktu yang cukup lama. Di samping itu, melibatkan lembaga lain dalam mengawasi kebijakan pemerintahan akan berdampak pada ketidak harmonisan hubungan antara pemerintah pusat (Gubernur) dengan Pemerintah Daerah Kabupaten/Kota. Harus pula diingat, selama Perda dan Perkada tersebut belum dicabut dan/atau dibatalkan, ia tetap berlaku. Tentu hal ini akan berdampak terhadap kebijakan nasional, khususnya di daerah Provinsi. </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Sesungguhnya kewenangan </w:t>
      </w:r>
      <w:r>
        <w:rPr>
          <w:rFonts w:ascii="Times New Roman" w:hAnsi="Times New Roman" w:cs="Times New Roman"/>
          <w:sz w:val="24"/>
          <w:szCs w:val="24"/>
          <w:lang w:val="id-ID"/>
        </w:rPr>
        <w:t>dalam</w:t>
      </w:r>
      <w:r>
        <w:rPr>
          <w:rFonts w:ascii="Times New Roman" w:hAnsi="Times New Roman" w:cs="Times New Roman"/>
          <w:sz w:val="24"/>
          <w:szCs w:val="24"/>
        </w:rPr>
        <w:t xml:space="preserve"> penyelenggaraan pemerintahan haruslah tetap pada batas-batas yang telah ditetapkan dalam konstitusi. Sebab, konstitusi adalah merupakan kaidah penuntun bagi organ pemerintah dalam menjalankan tugas dan fungsinya. Oleh karena itu, konstitusi sekaligus dijadikan sebagai landasan dalam menjalankan tugas dan fungsi alat perlengkapan negara.</w:t>
      </w:r>
      <w:r>
        <w:rPr>
          <w:rStyle w:val="6"/>
          <w:rFonts w:ascii="Times New Roman" w:hAnsi="Times New Roman" w:cs="Times New Roman"/>
          <w:sz w:val="24"/>
          <w:szCs w:val="24"/>
        </w:rPr>
        <w:footnoteReference w:id="6"/>
      </w:r>
      <w:r>
        <w:rPr>
          <w:rFonts w:ascii="Times New Roman" w:hAnsi="Times New Roman" w:cs="Times New Roman"/>
          <w:sz w:val="24"/>
          <w:szCs w:val="24"/>
        </w:rPr>
        <w:t xml:space="preserve"> Dalam kaitannya dengan kedudukan Gubernur sebagai wakil Pemerintah Pusat di daerah, pembatalan Perda dan Perkada Kabupaten/Kota adalah dalam wujud pelaksanaan amanah UUD 1945. Sebab, di dalam Pasal 4 ayat (1) UUD 1945 Presiden sebagai kepala pemerintahan, sedangkan Gubernur adalah wakil pemerintah pusat di daerah.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Adapun tujuan pemberian kewenangan pembatalan Perda dan Perkada kepada Gubernur sebagai wakil pemerintah pusat adalah dalam kerangka menghindarkan salah penerapan otonomi seluas-luasnya yang diserahkan ke daerah Kabupaten/Kota. Apalagi kalau</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dikaitkan dengan pelaksanaan pembangunan, Kabupaten/Kota adalah sebagai ujung tombak pelaksanaan pembangunan. Jangan sampai ada Perda dan Perkada yang menghambat kebijakan pembangunan nasional. Oleh karena itulah, dengan dicabutnya kewenangan Gubernur untuk membatalkan Perda dan Perkada Kabupaten/Kota, bagaimana Gubernur melakukan pembatalan Perda dan Perkada yang diduga bermasalah dan/atau bertentangan dengan kebijakan nasional.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Terhadap persoalan ini, patut dipahami ketentuan </w:t>
      </w:r>
      <w:r>
        <w:rPr>
          <w:rFonts w:ascii="Times New Roman" w:hAnsi="Times New Roman" w:cs="Times New Roman"/>
          <w:color w:val="000000"/>
          <w:sz w:val="24"/>
          <w:szCs w:val="24"/>
        </w:rPr>
        <w:t>Pasal 8 ayat (2) UU. No. 23 Tahun 2014, bahwa Gubernur sebagai wakil Pemerintah Pusat mempunyai kewenangan untuk melakukan pembinaan terhadap penyelenggaraan Urusan Pemerintahan di Kabupaten/Kota. Menyimak ketentuan ini, Gubernur sebagai wakil Pemerintah Pusat, perlu secara proaktif melakukan pembinaan dalam penerbitan Perda dan Perkada. Hal itu perlu dilakukan untuk menghindarkan terbitnya Perda dan Perkada bermasalah di Kabupaten/Kota.</w:t>
      </w:r>
      <w:r>
        <w:rPr>
          <w:rFonts w:ascii="Times New Roman" w:hAnsi="Times New Roman" w:cs="Times New Roman"/>
          <w:sz w:val="24"/>
          <w:szCs w:val="24"/>
        </w:rPr>
        <w:t xml:space="preserve"> </w:t>
      </w:r>
    </w:p>
    <w:p>
      <w:pPr>
        <w:spacing w:after="0" w:line="360" w:lineRule="auto"/>
        <w:ind w:firstLine="720"/>
        <w:jc w:val="both"/>
        <w:rPr>
          <w:rFonts w:ascii="Times New Roman" w:hAnsi="Times New Roman" w:cs="Times New Roman"/>
          <w:b/>
          <w:sz w:val="24"/>
          <w:szCs w:val="24"/>
        </w:rPr>
      </w:pPr>
      <w:r>
        <w:rPr>
          <w:rFonts w:ascii="Times New Roman" w:hAnsi="Times New Roman" w:cs="Times New Roman"/>
          <w:sz w:val="24"/>
          <w:szCs w:val="24"/>
        </w:rPr>
        <w:t xml:space="preserve">Berdasarkan permasalahan sebagaimana diuraikan di atas, peneliti tertarik untuk membahasnya dalam satu bentuk penelitian dengan judul </w:t>
      </w:r>
      <w:r>
        <w:rPr>
          <w:rFonts w:ascii="Times New Roman" w:hAnsi="Times New Roman" w:cs="Times New Roman"/>
          <w:b/>
          <w:sz w:val="24"/>
          <w:szCs w:val="24"/>
        </w:rPr>
        <w:t>PEMBATALAN PERATURAN DAERAH DAN PERATURAN KEPALA DAERAH SETELAH PUTUSAN MAHKAMAH KONSTITUSI NOMOR : 137/PUU-XIII/2015.</w:t>
      </w:r>
    </w:p>
    <w:p>
      <w:pPr>
        <w:spacing w:line="360" w:lineRule="auto"/>
        <w:ind w:firstLine="720"/>
        <w:jc w:val="both"/>
        <w:rPr>
          <w:rFonts w:ascii="Times New Roman" w:hAnsi="Times New Roman" w:cs="Times New Roman"/>
          <w:sz w:val="24"/>
          <w:szCs w:val="24"/>
        </w:rPr>
      </w:pPr>
    </w:p>
    <w:p>
      <w:pPr>
        <w:numPr>
          <w:ilvl w:val="0"/>
          <w:numId w:val="11"/>
        </w:numPr>
        <w:spacing w:after="0" w:line="480" w:lineRule="auto"/>
        <w:ind w:left="360" w:leftChars="0" w:hanging="360" w:firstLineChars="0"/>
        <w:rPr>
          <w:rFonts w:ascii="Times New Roman" w:hAnsi="Times New Roman" w:cs="Times New Roman"/>
          <w:b/>
          <w:sz w:val="24"/>
          <w:szCs w:val="24"/>
          <w:lang w:val="fi-FI"/>
        </w:rPr>
      </w:pPr>
      <w:r>
        <w:rPr>
          <w:rFonts w:ascii="Times New Roman" w:hAnsi="Times New Roman" w:cs="Times New Roman"/>
          <w:b/>
          <w:sz w:val="24"/>
          <w:szCs w:val="24"/>
          <w:lang w:val="fi-FI"/>
        </w:rPr>
        <w:t>Identifikasi Masalah</w:t>
      </w:r>
    </w:p>
    <w:p>
      <w:pPr>
        <w:spacing w:after="0" w:line="360" w:lineRule="auto"/>
        <w:ind w:firstLine="567"/>
        <w:jc w:val="both"/>
        <w:rPr>
          <w:rFonts w:ascii="Times New Roman" w:hAnsi="Times New Roman" w:cs="Times New Roman"/>
          <w:sz w:val="24"/>
          <w:szCs w:val="24"/>
          <w:lang w:val="sv-SE"/>
        </w:rPr>
      </w:pPr>
      <w:r>
        <w:rPr>
          <w:rFonts w:ascii="Times New Roman" w:hAnsi="Times New Roman" w:cs="Times New Roman"/>
          <w:sz w:val="24"/>
          <w:szCs w:val="24"/>
          <w:lang w:val="sv-SE"/>
        </w:rPr>
        <w:t>Berdasarkan uraian dalam latar belakang  penelitian tersebut di atas, penulis mengidentifikasikan permasalahan dalam penelitian ini sebagai berikut:</w:t>
      </w:r>
    </w:p>
    <w:p>
      <w:pPr>
        <w:numPr>
          <w:ilvl w:val="0"/>
          <w:numId w:val="12"/>
        </w:numPr>
        <w:spacing w:after="0" w:line="360" w:lineRule="auto"/>
        <w:ind w:left="567" w:hanging="567"/>
        <w:jc w:val="both"/>
        <w:rPr>
          <w:rFonts w:ascii="Times New Roman" w:hAnsi="Times New Roman" w:cs="Times New Roman"/>
          <w:sz w:val="24"/>
          <w:szCs w:val="24"/>
          <w:lang w:val="sv-SE"/>
        </w:rPr>
      </w:pPr>
      <w:r>
        <w:rPr>
          <w:rFonts w:ascii="Times New Roman" w:hAnsi="Times New Roman" w:cs="Times New Roman"/>
          <w:sz w:val="24"/>
          <w:szCs w:val="24"/>
          <w:lang w:val="sv-SE"/>
        </w:rPr>
        <w:t xml:space="preserve">Bagaimana kedudukan Peraturan Daerah dan Peraturan Kepala Daerah dalam sistem hukum nasional? </w:t>
      </w:r>
    </w:p>
    <w:p>
      <w:pPr>
        <w:numPr>
          <w:ilvl w:val="0"/>
          <w:numId w:val="12"/>
        </w:numPr>
        <w:spacing w:after="0" w:line="360" w:lineRule="auto"/>
        <w:ind w:left="567" w:hanging="567"/>
        <w:jc w:val="both"/>
        <w:rPr>
          <w:rFonts w:ascii="Times New Roman" w:hAnsi="Times New Roman" w:cs="Times New Roman"/>
          <w:sz w:val="24"/>
          <w:szCs w:val="24"/>
          <w:lang w:val="sv-SE"/>
        </w:rPr>
      </w:pPr>
      <w:r>
        <w:rPr>
          <w:rFonts w:ascii="Times New Roman" w:hAnsi="Times New Roman" w:cs="Times New Roman"/>
          <w:sz w:val="24"/>
          <w:szCs w:val="24"/>
          <w:lang w:val="sv-SE"/>
        </w:rPr>
        <w:t>Bagaimana membatalkan Peraturan Daerah dan Peraturan Kepala Daerah setelah terbitnya Putusan Mahkamah Konstitusi</w:t>
      </w:r>
      <w:r>
        <w:rPr>
          <w:rFonts w:ascii="Times New Roman" w:hAnsi="Times New Roman" w:cs="Times New Roman"/>
          <w:sz w:val="24"/>
          <w:szCs w:val="24"/>
        </w:rPr>
        <w:t xml:space="preserve"> No. 137/PUU-XIII/2015?</w:t>
      </w:r>
    </w:p>
    <w:p>
      <w:pPr>
        <w:numPr>
          <w:ilvl w:val="0"/>
          <w:numId w:val="12"/>
        </w:numPr>
        <w:spacing w:after="0" w:line="360" w:lineRule="auto"/>
        <w:ind w:left="567" w:hanging="567"/>
        <w:jc w:val="both"/>
        <w:rPr>
          <w:rFonts w:ascii="Times New Roman" w:hAnsi="Times New Roman" w:cs="Times New Roman"/>
          <w:sz w:val="24"/>
          <w:szCs w:val="24"/>
          <w:lang w:val="sv-SE"/>
        </w:rPr>
      </w:pPr>
      <w:r>
        <w:rPr>
          <w:rFonts w:ascii="Times New Roman" w:hAnsi="Times New Roman" w:cs="Times New Roman"/>
          <w:sz w:val="24"/>
          <w:szCs w:val="24"/>
          <w:lang w:val="id-ID"/>
        </w:rPr>
        <w:t xml:space="preserve">Bagaimana bentuk pembinaan Gubernur kepada Pemerintah Kabupaten/Kota dalam penerbitan Peraturan Daerah </w:t>
      </w:r>
      <w:r>
        <w:rPr>
          <w:rFonts w:ascii="Times New Roman" w:hAnsi="Times New Roman" w:cs="Times New Roman"/>
          <w:sz w:val="24"/>
          <w:szCs w:val="24"/>
        </w:rPr>
        <w:t xml:space="preserve">dan Peraturan Kepala Daerah </w:t>
      </w:r>
      <w:r>
        <w:rPr>
          <w:rFonts w:ascii="Times New Roman" w:hAnsi="Times New Roman" w:cs="Times New Roman"/>
          <w:sz w:val="24"/>
          <w:szCs w:val="24"/>
          <w:lang w:val="id-ID"/>
        </w:rPr>
        <w:t xml:space="preserve">dilakukan setelah terbitnya putusan </w:t>
      </w:r>
      <w:r>
        <w:rPr>
          <w:rFonts w:ascii="Times New Roman" w:hAnsi="Times New Roman" w:cs="Times New Roman"/>
          <w:color w:val="000000"/>
          <w:sz w:val="24"/>
          <w:szCs w:val="24"/>
        </w:rPr>
        <w:t>Mahkamah Konstitusi No. 137/PUU-XIII/201</w:t>
      </w:r>
      <w:r>
        <w:rPr>
          <w:rFonts w:ascii="Times New Roman" w:hAnsi="Times New Roman" w:cs="Times New Roman"/>
          <w:sz w:val="24"/>
          <w:szCs w:val="24"/>
          <w:lang w:val="id-ID"/>
        </w:rPr>
        <w:t>5</w:t>
      </w:r>
      <w:r>
        <w:rPr>
          <w:rFonts w:ascii="Times New Roman" w:hAnsi="Times New Roman" w:cs="Times New Roman"/>
          <w:sz w:val="24"/>
          <w:szCs w:val="24"/>
        </w:rPr>
        <w:t>?</w:t>
      </w:r>
    </w:p>
    <w:p>
      <w:pPr>
        <w:spacing w:after="0" w:line="360" w:lineRule="auto"/>
        <w:ind w:left="567"/>
        <w:jc w:val="both"/>
        <w:rPr>
          <w:rFonts w:ascii="Times New Roman" w:hAnsi="Times New Roman" w:cs="Times New Roman"/>
          <w:sz w:val="24"/>
          <w:szCs w:val="24"/>
          <w:lang w:val="sv-SE"/>
        </w:rPr>
      </w:pPr>
    </w:p>
    <w:p>
      <w:pPr>
        <w:keepNext w:val="0"/>
        <w:keepLines w:val="0"/>
        <w:pageBreakBefore w:val="0"/>
        <w:widowControl/>
        <w:numPr>
          <w:ilvl w:val="0"/>
          <w:numId w:val="11"/>
        </w:numPr>
        <w:kinsoku/>
        <w:wordWrap/>
        <w:overflowPunct/>
        <w:topLinePunct w:val="0"/>
        <w:autoSpaceDE/>
        <w:autoSpaceDN/>
        <w:bidi w:val="0"/>
        <w:adjustRightInd/>
        <w:snapToGrid/>
        <w:spacing w:after="0" w:line="480" w:lineRule="auto"/>
        <w:ind w:left="360" w:leftChars="0" w:hanging="360" w:firstLineChars="0"/>
        <w:textAlignment w:val="auto"/>
        <w:rPr>
          <w:rFonts w:ascii="Times New Roman" w:hAnsi="Times New Roman" w:cs="Times New Roman"/>
          <w:b/>
          <w:sz w:val="24"/>
          <w:szCs w:val="24"/>
          <w:lang w:val="fi-FI"/>
        </w:rPr>
      </w:pPr>
      <w:r>
        <w:rPr>
          <w:rFonts w:ascii="Times New Roman" w:hAnsi="Times New Roman" w:cs="Times New Roman"/>
          <w:b/>
          <w:sz w:val="24"/>
          <w:szCs w:val="24"/>
          <w:lang w:val="fi-FI"/>
        </w:rPr>
        <w:t>Tujuan Penelitian</w:t>
      </w:r>
    </w:p>
    <w:p>
      <w:pPr>
        <w:keepNext w:val="0"/>
        <w:keepLines w:val="0"/>
        <w:pageBreakBefore w:val="0"/>
        <w:widowControl/>
        <w:kinsoku/>
        <w:wordWrap/>
        <w:overflowPunct/>
        <w:topLinePunct w:val="0"/>
        <w:autoSpaceDE/>
        <w:autoSpaceDN/>
        <w:bidi w:val="0"/>
        <w:adjustRightInd/>
        <w:snapToGrid/>
        <w:spacing w:after="0" w:line="360" w:lineRule="auto"/>
        <w:ind w:hanging="360"/>
        <w:jc w:val="both"/>
        <w:textAlignment w:val="auto"/>
        <w:rPr>
          <w:rFonts w:ascii="Times New Roman" w:hAnsi="Times New Roman" w:cs="Times New Roman"/>
          <w:sz w:val="24"/>
          <w:szCs w:val="24"/>
          <w:lang w:val="fi-FI"/>
        </w:rPr>
      </w:pPr>
      <w:r>
        <w:rPr>
          <w:rFonts w:ascii="Times New Roman" w:hAnsi="Times New Roman" w:cs="Times New Roman"/>
          <w:sz w:val="24"/>
          <w:szCs w:val="24"/>
          <w:lang w:val="fi-FI"/>
        </w:rPr>
        <w:tab/>
      </w:r>
      <w:r>
        <w:rPr>
          <w:rFonts w:ascii="Times New Roman" w:hAnsi="Times New Roman" w:cs="Times New Roman"/>
          <w:sz w:val="24"/>
          <w:szCs w:val="24"/>
          <w:lang w:val="fi-FI"/>
        </w:rPr>
        <w:tab/>
      </w:r>
      <w:r>
        <w:rPr>
          <w:rFonts w:ascii="Times New Roman" w:hAnsi="Times New Roman" w:cs="Times New Roman"/>
          <w:sz w:val="24"/>
          <w:szCs w:val="24"/>
          <w:lang w:val="fi-FI"/>
        </w:rPr>
        <w:t>Sehubungan dengan permasalahan di atas, penyelidikan dan analisis penelitian ini bertujuan :</w:t>
      </w:r>
    </w:p>
    <w:p>
      <w:pPr>
        <w:pStyle w:val="10"/>
        <w:numPr>
          <w:ilvl w:val="0"/>
          <w:numId w:val="13"/>
        </w:numPr>
        <w:spacing w:after="0" w:line="360" w:lineRule="auto"/>
        <w:rPr>
          <w:rFonts w:ascii="Times New Roman" w:hAnsi="Times New Roman" w:cs="Times New Roman"/>
          <w:sz w:val="24"/>
          <w:szCs w:val="24"/>
          <w:lang w:val="fi-FI"/>
        </w:rPr>
      </w:pPr>
      <w:r>
        <w:rPr>
          <w:rFonts w:ascii="Times New Roman" w:hAnsi="Times New Roman" w:cs="Times New Roman"/>
          <w:sz w:val="24"/>
          <w:szCs w:val="24"/>
          <w:lang w:val="fi-FI"/>
        </w:rPr>
        <w:t>Untuk meneliti dan mengkaji bagaimana kedudukan Peraturan Daerah dan Peraturan Kepala Daerah dalam sistem hukum nasional.</w:t>
      </w:r>
    </w:p>
    <w:p>
      <w:pPr>
        <w:pStyle w:val="10"/>
        <w:numPr>
          <w:ilvl w:val="0"/>
          <w:numId w:val="13"/>
        </w:num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fi-FI"/>
        </w:rPr>
        <w:t xml:space="preserve">Untuk menemukan dan mengkaji bagaimana membatalkan Peraturan Daerah dan Peraturan Kepala Daerah setelah </w:t>
      </w:r>
      <w:r>
        <w:rPr>
          <w:rFonts w:ascii="Times New Roman" w:hAnsi="Times New Roman" w:cs="Times New Roman"/>
          <w:sz w:val="24"/>
          <w:szCs w:val="24"/>
          <w:lang w:val="sv-SE"/>
        </w:rPr>
        <w:t>terbitnya Putusan Mahkamah Konstitusi</w:t>
      </w:r>
      <w:r>
        <w:rPr>
          <w:rFonts w:ascii="Times New Roman" w:hAnsi="Times New Roman" w:cs="Times New Roman"/>
          <w:sz w:val="24"/>
          <w:szCs w:val="24"/>
        </w:rPr>
        <w:t xml:space="preserve"> No. 137/PUU-XIII/2015.</w:t>
      </w:r>
    </w:p>
    <w:p>
      <w:pPr>
        <w:pStyle w:val="10"/>
        <w:numPr>
          <w:ilvl w:val="0"/>
          <w:numId w:val="13"/>
        </w:num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rPr>
        <w:t xml:space="preserve">Untuk menemukan dan mengkaji bagaimana </w:t>
      </w:r>
      <w:r>
        <w:rPr>
          <w:rFonts w:ascii="Times New Roman" w:hAnsi="Times New Roman" w:cs="Times New Roman"/>
          <w:sz w:val="24"/>
          <w:szCs w:val="24"/>
          <w:lang w:val="en-US"/>
        </w:rPr>
        <w:t>Gubernur melakukan pembinaan kepada Pemerintah Daerah Kabupaten/Kota</w:t>
      </w:r>
      <w:r>
        <w:rPr>
          <w:rFonts w:ascii="Times New Roman" w:hAnsi="Times New Roman" w:cs="Times New Roman"/>
          <w:sz w:val="24"/>
          <w:szCs w:val="24"/>
        </w:rPr>
        <w:t xml:space="preserve"> dalam penerbitan Peraturan Daerah </w:t>
      </w:r>
      <w:r>
        <w:rPr>
          <w:rFonts w:ascii="Times New Roman" w:hAnsi="Times New Roman" w:cs="Times New Roman"/>
          <w:sz w:val="24"/>
          <w:szCs w:val="24"/>
          <w:lang w:val="en-US"/>
        </w:rPr>
        <w:t xml:space="preserve">dan Peraturan Kepala Daerah </w:t>
      </w:r>
      <w:r>
        <w:rPr>
          <w:rFonts w:ascii="Times New Roman" w:hAnsi="Times New Roman" w:cs="Times New Roman"/>
          <w:sz w:val="24"/>
          <w:szCs w:val="24"/>
        </w:rPr>
        <w:t xml:space="preserve">setelah terbitnya putusan </w:t>
      </w:r>
      <w:r>
        <w:rPr>
          <w:rFonts w:ascii="Times New Roman" w:hAnsi="Times New Roman" w:cs="Times New Roman"/>
          <w:color w:val="000000"/>
          <w:sz w:val="24"/>
          <w:szCs w:val="24"/>
        </w:rPr>
        <w:t>Mahkamah Konstitusi No. 137/PUU-XII</w:t>
      </w:r>
      <w:r>
        <w:rPr>
          <w:rFonts w:ascii="Times New Roman" w:hAnsi="Times New Roman" w:cs="Times New Roman"/>
          <w:color w:val="000000"/>
          <w:sz w:val="24"/>
          <w:szCs w:val="24"/>
          <w:lang w:val="en-US"/>
        </w:rPr>
        <w:t>I</w:t>
      </w:r>
      <w:r>
        <w:rPr>
          <w:rFonts w:ascii="Times New Roman" w:hAnsi="Times New Roman" w:cs="Times New Roman"/>
          <w:color w:val="000000"/>
          <w:sz w:val="24"/>
          <w:szCs w:val="24"/>
        </w:rPr>
        <w:t>/201</w:t>
      </w:r>
      <w:r>
        <w:rPr>
          <w:rFonts w:ascii="Times New Roman" w:hAnsi="Times New Roman" w:cs="Times New Roman"/>
          <w:sz w:val="24"/>
          <w:szCs w:val="24"/>
        </w:rPr>
        <w:t xml:space="preserve">5. </w:t>
      </w:r>
    </w:p>
    <w:p>
      <w:pPr>
        <w:pStyle w:val="10"/>
        <w:spacing w:after="0" w:line="360" w:lineRule="auto"/>
        <w:ind w:left="1080"/>
        <w:jc w:val="both"/>
        <w:rPr>
          <w:rFonts w:ascii="Times New Roman" w:hAnsi="Times New Roman" w:cs="Times New Roman"/>
          <w:sz w:val="24"/>
          <w:szCs w:val="24"/>
          <w:lang w:val="sv-SE"/>
        </w:rPr>
      </w:pPr>
    </w:p>
    <w:p>
      <w:pPr>
        <w:keepNext w:val="0"/>
        <w:keepLines w:val="0"/>
        <w:pageBreakBefore w:val="0"/>
        <w:widowControl/>
        <w:numPr>
          <w:ilvl w:val="0"/>
          <w:numId w:val="11"/>
        </w:numPr>
        <w:kinsoku/>
        <w:wordWrap/>
        <w:overflowPunct/>
        <w:topLinePunct w:val="0"/>
        <w:autoSpaceDE/>
        <w:autoSpaceDN/>
        <w:bidi w:val="0"/>
        <w:adjustRightInd/>
        <w:snapToGrid/>
        <w:spacing w:after="0" w:line="480" w:lineRule="auto"/>
        <w:ind w:left="360" w:leftChars="0" w:hanging="360" w:firstLineChars="0"/>
        <w:jc w:val="both"/>
        <w:textAlignment w:val="auto"/>
        <w:rPr>
          <w:rFonts w:ascii="Times New Roman" w:hAnsi="Times New Roman" w:cs="Times New Roman"/>
          <w:b/>
          <w:sz w:val="24"/>
          <w:szCs w:val="24"/>
          <w:lang w:val="fi-FI"/>
        </w:rPr>
      </w:pPr>
      <w:r>
        <w:rPr>
          <w:rFonts w:ascii="Times New Roman" w:hAnsi="Times New Roman" w:cs="Times New Roman"/>
          <w:b/>
          <w:sz w:val="24"/>
          <w:szCs w:val="24"/>
          <w:lang w:val="fi-FI"/>
        </w:rPr>
        <w:t>Kegunaan Penelitian</w:t>
      </w:r>
    </w:p>
    <w:p>
      <w:pPr>
        <w:keepNext w:val="0"/>
        <w:keepLines w:val="0"/>
        <w:pageBreakBefore w:val="0"/>
        <w:widowControl/>
        <w:kinsoku/>
        <w:wordWrap/>
        <w:overflowPunct/>
        <w:topLinePunct w:val="0"/>
        <w:autoSpaceDE/>
        <w:autoSpaceDN/>
        <w:bidi w:val="0"/>
        <w:adjustRightInd/>
        <w:snapToGrid/>
        <w:spacing w:after="0" w:line="360" w:lineRule="auto"/>
        <w:textAlignment w:val="auto"/>
        <w:rPr>
          <w:rFonts w:ascii="Times New Roman" w:hAnsi="Times New Roman" w:cs="Times New Roman"/>
          <w:sz w:val="24"/>
          <w:szCs w:val="24"/>
          <w:lang w:val="fi-FI"/>
        </w:rPr>
      </w:pPr>
      <w:r>
        <w:rPr>
          <w:rFonts w:ascii="Times New Roman" w:hAnsi="Times New Roman" w:cs="Times New Roman"/>
          <w:sz w:val="24"/>
          <w:szCs w:val="24"/>
          <w:lang w:val="fi-FI"/>
        </w:rPr>
        <w:tab/>
      </w:r>
      <w:r>
        <w:rPr>
          <w:rFonts w:ascii="Times New Roman" w:hAnsi="Times New Roman" w:cs="Times New Roman"/>
          <w:sz w:val="24"/>
          <w:szCs w:val="24"/>
          <w:lang w:val="fi-FI"/>
        </w:rPr>
        <w:t>Penelitian diharapkan berguna :</w:t>
      </w:r>
    </w:p>
    <w:p>
      <w:pPr>
        <w:pStyle w:val="10"/>
        <w:numPr>
          <w:ilvl w:val="0"/>
          <w:numId w:val="14"/>
        </w:numPr>
        <w:spacing w:after="0" w:line="360" w:lineRule="auto"/>
        <w:jc w:val="both"/>
        <w:rPr>
          <w:rFonts w:ascii="Times New Roman" w:hAnsi="Times New Roman" w:cs="Times New Roman"/>
          <w:sz w:val="24"/>
          <w:szCs w:val="24"/>
          <w:lang w:val="fi-FI"/>
        </w:rPr>
      </w:pPr>
      <w:r>
        <w:rPr>
          <w:rFonts w:ascii="Times New Roman" w:hAnsi="Times New Roman" w:cs="Times New Roman"/>
          <w:sz w:val="24"/>
          <w:szCs w:val="24"/>
          <w:lang w:val="fi-FI"/>
        </w:rPr>
        <w:t>Secara teoritis ; untuk mengisi dan memperluas khasanah teori di bidang ilmu hukum, khususnya dalam hukum pemerintahan,  bagaimana kedudukan Peraturan Daearah dan Peraturan Kepala Daerah dalam sistem hukum nasional</w:t>
      </w:r>
    </w:p>
    <w:p>
      <w:pPr>
        <w:pStyle w:val="10"/>
        <w:numPr>
          <w:ilvl w:val="0"/>
          <w:numId w:val="14"/>
        </w:numPr>
        <w:spacing w:after="0" w:line="360" w:lineRule="auto"/>
        <w:jc w:val="both"/>
        <w:rPr>
          <w:rFonts w:ascii="Times New Roman" w:hAnsi="Times New Roman" w:cs="Times New Roman"/>
          <w:sz w:val="24"/>
          <w:szCs w:val="24"/>
          <w:lang w:val="fi-FI"/>
        </w:rPr>
      </w:pPr>
      <w:r>
        <w:rPr>
          <w:rFonts w:ascii="Times New Roman" w:hAnsi="Times New Roman" w:cs="Times New Roman"/>
          <w:sz w:val="24"/>
          <w:szCs w:val="24"/>
          <w:lang w:val="fi-FI"/>
        </w:rPr>
        <w:t>Secara praktis, diharapkan menjadi sumbangan pemikiran bagi pemerintah (baik pusat maupun daerah), akademisi, dan masyarakat luas dalam memahami bagaimana membentuk dan mengubah Peraturan Daerah dan Peraturan Kepala Daerah di Indonesia agar tidak bertentangan dengan kebijakan nasional dan sistem hukum nasional.</w:t>
      </w:r>
    </w:p>
    <w:p>
      <w:pPr>
        <w:pStyle w:val="10"/>
        <w:spacing w:after="0" w:line="360" w:lineRule="auto"/>
        <w:jc w:val="both"/>
        <w:rPr>
          <w:rFonts w:ascii="Times New Roman" w:hAnsi="Times New Roman" w:cs="Times New Roman"/>
          <w:sz w:val="24"/>
          <w:szCs w:val="24"/>
          <w:lang w:val="fi-FI"/>
        </w:rPr>
      </w:pPr>
    </w:p>
    <w:p>
      <w:pPr>
        <w:keepNext w:val="0"/>
        <w:keepLines w:val="0"/>
        <w:pageBreakBefore w:val="0"/>
        <w:widowControl/>
        <w:numPr>
          <w:ilvl w:val="0"/>
          <w:numId w:val="11"/>
        </w:numPr>
        <w:kinsoku/>
        <w:wordWrap/>
        <w:overflowPunct/>
        <w:topLinePunct w:val="0"/>
        <w:autoSpaceDE/>
        <w:autoSpaceDN/>
        <w:bidi w:val="0"/>
        <w:adjustRightInd/>
        <w:snapToGrid/>
        <w:spacing w:after="0" w:line="480" w:lineRule="auto"/>
        <w:ind w:left="360" w:leftChars="0" w:hanging="360" w:firstLineChars="0"/>
        <w:jc w:val="both"/>
        <w:textAlignment w:val="auto"/>
        <w:rPr>
          <w:rFonts w:ascii="Times New Roman" w:hAnsi="Times New Roman" w:cs="Times New Roman"/>
          <w:b/>
          <w:sz w:val="24"/>
          <w:szCs w:val="24"/>
          <w:lang w:val="fi-FI"/>
        </w:rPr>
      </w:pPr>
      <w:r>
        <w:rPr>
          <w:rFonts w:ascii="Times New Roman" w:hAnsi="Times New Roman" w:cs="Times New Roman"/>
          <w:b/>
          <w:sz w:val="24"/>
          <w:szCs w:val="24"/>
          <w:lang w:val="fi-FI"/>
        </w:rPr>
        <w:t>Kerangka Pemikiran</w:t>
      </w:r>
    </w:p>
    <w:p>
      <w:pPr>
        <w:keepNext w:val="0"/>
        <w:keepLines w:val="0"/>
        <w:pageBreakBefore w:val="0"/>
        <w:widowControl/>
        <w:kinsoku/>
        <w:wordWrap/>
        <w:overflowPunct/>
        <w:topLinePunct w:val="0"/>
        <w:autoSpaceDE/>
        <w:autoSpaceDN/>
        <w:bidi w:val="0"/>
        <w:adjustRightInd/>
        <w:snapToGrid/>
        <w:spacing w:after="0" w:line="360" w:lineRule="auto"/>
        <w:ind w:firstLine="720"/>
        <w:jc w:val="both"/>
        <w:textAlignment w:val="auto"/>
        <w:rPr>
          <w:rFonts w:ascii="Times New Roman" w:hAnsi="Times New Roman" w:cs="Times New Roman"/>
          <w:sz w:val="24"/>
          <w:szCs w:val="24"/>
          <w:lang w:val="fi-FI"/>
        </w:rPr>
      </w:pPr>
      <w:r>
        <w:rPr>
          <w:rFonts w:ascii="Times New Roman" w:hAnsi="Times New Roman" w:cs="Times New Roman"/>
          <w:sz w:val="24"/>
          <w:szCs w:val="24"/>
          <w:lang w:val="fi-FI"/>
        </w:rPr>
        <w:t xml:space="preserve">Berkenaan dengan tema sentral dalam penelitian ini </w:t>
      </w:r>
      <w:r>
        <w:rPr>
          <w:rFonts w:ascii="Times New Roman" w:hAnsi="Times New Roman" w:cs="Times New Roman"/>
          <w:color w:val="000000"/>
          <w:sz w:val="24"/>
          <w:szCs w:val="24"/>
        </w:rPr>
        <w:t xml:space="preserve">akan terkait dengan pembatalan Perda dan Perkada, khususnya kewenangan pembatalan Perda dan Perkada Kabupaten/Kota. Sebelum terbit </w:t>
      </w:r>
      <w:r>
        <w:rPr>
          <w:rFonts w:ascii="Times New Roman" w:hAnsi="Times New Roman" w:cs="Times New Roman"/>
          <w:sz w:val="24"/>
          <w:szCs w:val="24"/>
          <w:lang w:val="sv-SE"/>
        </w:rPr>
        <w:t>Putusan Mahkamah Konstitusi</w:t>
      </w:r>
      <w:r>
        <w:rPr>
          <w:rFonts w:ascii="Times New Roman" w:hAnsi="Times New Roman" w:cs="Times New Roman"/>
          <w:sz w:val="24"/>
          <w:szCs w:val="24"/>
        </w:rPr>
        <w:t xml:space="preserve"> No. 137/PUU-XIII/2015</w:t>
      </w:r>
      <w:r>
        <w:rPr>
          <w:rFonts w:ascii="Times New Roman" w:hAnsi="Times New Roman" w:cs="Times New Roman"/>
          <w:color w:val="000000"/>
          <w:sz w:val="24"/>
          <w:szCs w:val="24"/>
        </w:rPr>
        <w:t xml:space="preserve"> kewenangan untuk membatalkan Perda dan Perkada kabupaten/Kota berada pada Gubernur sebagai wakil Pemerintah Pusat di daerah. Tetapi, dengan terbitnya </w:t>
      </w:r>
      <w:r>
        <w:rPr>
          <w:rFonts w:ascii="Times New Roman" w:hAnsi="Times New Roman" w:cs="Times New Roman"/>
          <w:sz w:val="24"/>
          <w:szCs w:val="24"/>
          <w:lang w:val="sv-SE"/>
        </w:rPr>
        <w:t>Putusan Mahkamah Konstitusi</w:t>
      </w:r>
      <w:r>
        <w:rPr>
          <w:rFonts w:ascii="Times New Roman" w:hAnsi="Times New Roman" w:cs="Times New Roman"/>
          <w:sz w:val="24"/>
          <w:szCs w:val="24"/>
        </w:rPr>
        <w:t xml:space="preserve"> No. 137/PUU-XIII/2015, kewenangan itu sudah dicabut. Pembatalan Perda dan Perkada Kabupaten/Kota dilakukan melalui mekanisme pengujian ke Mahkamah Agung. Bertolak dari hal tersebut terlebih dahulu akan dikemukakan tentang kewenangan membentuk dan membatalkan Perda dan Perkada menurut UUD 1945. Jadi, kerangka teori sebagai pisau analisis dalam membahas permasalahan tersebut adalah teori kewenangan dan pengawasan pembentukan dalam pembatalan Perda dan Perkada berdasarkan UUD 1945</w:t>
      </w:r>
      <w:r>
        <w:rPr>
          <w:rFonts w:ascii="Times New Roman" w:hAnsi="Times New Roman" w:cs="Times New Roman"/>
          <w:sz w:val="24"/>
          <w:szCs w:val="24"/>
          <w:lang w:val="fi-FI"/>
        </w:rPr>
        <w:t>.</w:t>
      </w:r>
    </w:p>
    <w:p>
      <w:pPr>
        <w:pStyle w:val="2"/>
        <w:spacing w:after="0" w:line="360" w:lineRule="auto"/>
        <w:ind w:firstLine="720"/>
        <w:jc w:val="both"/>
        <w:rPr>
          <w:rFonts w:ascii="Times New Roman" w:hAnsi="Times New Roman"/>
          <w:b/>
          <w:sz w:val="24"/>
          <w:szCs w:val="24"/>
        </w:rPr>
      </w:pPr>
      <w:r>
        <w:rPr>
          <w:rFonts w:ascii="Times New Roman" w:hAnsi="Times New Roman"/>
          <w:sz w:val="24"/>
          <w:szCs w:val="24"/>
        </w:rPr>
        <w:t xml:space="preserve">Istilah wewenang atau kewenangan dalam bahasa Inggris disebut </w:t>
      </w:r>
      <w:r>
        <w:rPr>
          <w:rFonts w:ascii="Times New Roman" w:hAnsi="Times New Roman"/>
          <w:i/>
          <w:sz w:val="24"/>
          <w:szCs w:val="24"/>
        </w:rPr>
        <w:t>authority</w:t>
      </w:r>
      <w:r>
        <w:rPr>
          <w:rFonts w:ascii="Times New Roman" w:hAnsi="Times New Roman"/>
          <w:sz w:val="24"/>
          <w:szCs w:val="24"/>
        </w:rPr>
        <w:t xml:space="preserve">, dan dalam bahasa Belanda disebut </w:t>
      </w:r>
      <w:r>
        <w:rPr>
          <w:rFonts w:ascii="Times New Roman" w:hAnsi="Times New Roman"/>
          <w:i/>
          <w:sz w:val="24"/>
          <w:szCs w:val="24"/>
        </w:rPr>
        <w:t>bevoegdheid</w:t>
      </w:r>
      <w:r>
        <w:rPr>
          <w:rFonts w:ascii="Times New Roman" w:hAnsi="Times New Roman"/>
          <w:sz w:val="24"/>
          <w:szCs w:val="24"/>
        </w:rPr>
        <w:t>. Dalam Kamus Besar Bahasa Indonesia, wewenang diartikan sebagai :</w:t>
      </w:r>
    </w:p>
    <w:p>
      <w:pPr>
        <w:pStyle w:val="2"/>
        <w:numPr>
          <w:ilvl w:val="0"/>
          <w:numId w:val="15"/>
        </w:numPr>
        <w:spacing w:after="0" w:line="360" w:lineRule="auto"/>
        <w:jc w:val="both"/>
        <w:rPr>
          <w:rFonts w:ascii="Times New Roman" w:hAnsi="Times New Roman"/>
          <w:b/>
          <w:sz w:val="24"/>
          <w:szCs w:val="24"/>
        </w:rPr>
      </w:pPr>
      <w:r>
        <w:rPr>
          <w:rFonts w:ascii="Times New Roman" w:hAnsi="Times New Roman"/>
          <w:sz w:val="24"/>
          <w:szCs w:val="24"/>
        </w:rPr>
        <w:t>Hak dan kekuasaan untuk bertindak; kewenangan;</w:t>
      </w:r>
    </w:p>
    <w:p>
      <w:pPr>
        <w:pStyle w:val="2"/>
        <w:numPr>
          <w:ilvl w:val="0"/>
          <w:numId w:val="15"/>
        </w:numPr>
        <w:spacing w:after="0" w:line="360" w:lineRule="auto"/>
        <w:jc w:val="both"/>
        <w:rPr>
          <w:rFonts w:ascii="Times New Roman" w:hAnsi="Times New Roman"/>
          <w:sz w:val="24"/>
          <w:szCs w:val="24"/>
        </w:rPr>
      </w:pPr>
      <w:r>
        <w:rPr>
          <w:rFonts w:ascii="Times New Roman" w:hAnsi="Times New Roman"/>
          <w:sz w:val="24"/>
          <w:szCs w:val="24"/>
        </w:rPr>
        <w:t>Kekuasaan membuat keputusan, memerintah, dan melimpahkan tanggung jawab.</w:t>
      </w:r>
      <w:r>
        <w:rPr>
          <w:rStyle w:val="6"/>
          <w:rFonts w:ascii="Times New Roman" w:hAnsi="Times New Roman"/>
          <w:sz w:val="24"/>
          <w:szCs w:val="24"/>
        </w:rPr>
        <w:footnoteReference w:id="7"/>
      </w:r>
    </w:p>
    <w:p>
      <w:pPr>
        <w:pStyle w:val="2"/>
        <w:spacing w:after="0" w:line="360" w:lineRule="auto"/>
        <w:ind w:firstLine="630"/>
        <w:jc w:val="both"/>
        <w:rPr>
          <w:rFonts w:ascii="Times New Roman" w:hAnsi="Times New Roman"/>
          <w:sz w:val="24"/>
          <w:szCs w:val="24"/>
        </w:rPr>
      </w:pPr>
      <w:r>
        <w:rPr>
          <w:rFonts w:ascii="Times New Roman" w:hAnsi="Times New Roman"/>
          <w:i/>
          <w:sz w:val="24"/>
          <w:szCs w:val="24"/>
        </w:rPr>
        <w:t xml:space="preserve">Authority </w:t>
      </w:r>
      <w:r>
        <w:rPr>
          <w:rFonts w:ascii="Times New Roman" w:hAnsi="Times New Roman"/>
          <w:sz w:val="24"/>
          <w:szCs w:val="24"/>
        </w:rPr>
        <w:t xml:space="preserve">dalam </w:t>
      </w:r>
      <w:r>
        <w:rPr>
          <w:rFonts w:ascii="Times New Roman" w:hAnsi="Times New Roman"/>
          <w:i/>
          <w:sz w:val="24"/>
          <w:szCs w:val="24"/>
        </w:rPr>
        <w:t>Black’S Law Dictionary</w:t>
      </w:r>
      <w:r>
        <w:rPr>
          <w:rFonts w:ascii="Times New Roman" w:hAnsi="Times New Roman"/>
          <w:sz w:val="24"/>
          <w:szCs w:val="24"/>
        </w:rPr>
        <w:t xml:space="preserve"> diartikan sebagai:</w:t>
      </w:r>
    </w:p>
    <w:p>
      <w:pPr>
        <w:pStyle w:val="2"/>
        <w:spacing w:after="0" w:line="240" w:lineRule="auto"/>
        <w:ind w:left="630"/>
        <w:jc w:val="both"/>
        <w:rPr>
          <w:rFonts w:ascii="Times New Roman" w:hAnsi="Times New Roman"/>
          <w:sz w:val="24"/>
          <w:szCs w:val="24"/>
        </w:rPr>
      </w:pPr>
      <w:r>
        <w:rPr>
          <w:rFonts w:ascii="Times New Roman" w:hAnsi="Times New Roman"/>
          <w:sz w:val="24"/>
          <w:szCs w:val="24"/>
        </w:rPr>
        <w:t>“</w:t>
      </w:r>
      <w:r>
        <w:rPr>
          <w:rFonts w:ascii="Times New Roman" w:hAnsi="Times New Roman"/>
          <w:i/>
          <w:sz w:val="24"/>
          <w:szCs w:val="24"/>
        </w:rPr>
        <w:t>Legal power; a right to command or to act; the right and power of public officers to require obedience to their orders lawfully issued in scope of their public duties</w:t>
      </w:r>
      <w:r>
        <w:rPr>
          <w:rFonts w:ascii="Times New Roman" w:hAnsi="Times New Roman"/>
          <w:sz w:val="24"/>
          <w:szCs w:val="24"/>
        </w:rPr>
        <w:t>.”</w:t>
      </w:r>
      <w:r>
        <w:rPr>
          <w:rStyle w:val="6"/>
          <w:rFonts w:ascii="Times New Roman" w:hAnsi="Times New Roman"/>
          <w:sz w:val="24"/>
          <w:szCs w:val="24"/>
        </w:rPr>
        <w:footnoteReference w:id="8"/>
      </w:r>
      <w:r>
        <w:rPr>
          <w:rFonts w:ascii="Times New Roman" w:hAnsi="Times New Roman"/>
          <w:sz w:val="24"/>
          <w:szCs w:val="24"/>
        </w:rPr>
        <w:t xml:space="preserve"> </w:t>
      </w:r>
    </w:p>
    <w:p>
      <w:pPr>
        <w:pStyle w:val="2"/>
        <w:spacing w:after="0" w:line="240" w:lineRule="auto"/>
        <w:ind w:left="630"/>
        <w:jc w:val="both"/>
        <w:rPr>
          <w:rFonts w:ascii="Times New Roman" w:hAnsi="Times New Roman"/>
          <w:sz w:val="24"/>
          <w:szCs w:val="24"/>
        </w:rPr>
      </w:pPr>
      <w:r>
        <w:rPr>
          <w:rFonts w:ascii="Times New Roman" w:hAnsi="Times New Roman"/>
          <w:sz w:val="24"/>
          <w:szCs w:val="24"/>
        </w:rPr>
        <w:t>(Kewenangan atau wewenang adalah kekuasaan hukum, hak untuk memerintah atau bertindak; hak atau kekuasaan pejabat publik untuk mematuhi aturan hukum dalam lingkup melaksanakan kewajiban publik).</w:t>
      </w:r>
    </w:p>
    <w:p>
      <w:pPr>
        <w:pStyle w:val="2"/>
        <w:spacing w:after="0" w:line="240" w:lineRule="auto"/>
        <w:ind w:left="630"/>
        <w:jc w:val="both"/>
        <w:rPr>
          <w:rFonts w:ascii="Times New Roman" w:hAnsi="Times New Roman"/>
          <w:sz w:val="24"/>
          <w:szCs w:val="24"/>
        </w:rPr>
      </w:pPr>
    </w:p>
    <w:p>
      <w:pPr>
        <w:spacing w:after="0" w:line="480" w:lineRule="auto"/>
        <w:jc w:val="both"/>
        <w:rPr>
          <w:rFonts w:ascii="Times New Roman" w:hAnsi="Times New Roman" w:cs="Times New Roman"/>
          <w:sz w:val="24"/>
          <w:szCs w:val="24"/>
          <w:lang w:val="fi-FI"/>
        </w:rPr>
      </w:pPr>
      <w:r>
        <w:rPr>
          <w:rFonts w:ascii="Times New Roman" w:hAnsi="Times New Roman" w:cs="Times New Roman"/>
          <w:sz w:val="24"/>
          <w:szCs w:val="24"/>
          <w:lang w:val="fi-FI"/>
        </w:rPr>
        <w:t>Menurut H.D. Stout  wewenang adalah :</w:t>
      </w:r>
    </w:p>
    <w:p>
      <w:pPr>
        <w:spacing w:after="0" w:line="240" w:lineRule="auto"/>
        <w:ind w:left="709"/>
        <w:jc w:val="both"/>
        <w:rPr>
          <w:rFonts w:ascii="Times New Roman" w:hAnsi="Times New Roman" w:cs="Times New Roman"/>
          <w:i/>
          <w:sz w:val="24"/>
          <w:szCs w:val="24"/>
          <w:lang w:val="fi-FI"/>
        </w:rPr>
      </w:pPr>
      <w:r>
        <w:rPr>
          <w:rFonts w:ascii="Times New Roman" w:hAnsi="Times New Roman" w:cs="Times New Roman"/>
          <w:i/>
          <w:sz w:val="24"/>
          <w:szCs w:val="24"/>
          <w:lang w:val="fi-FI"/>
        </w:rPr>
        <w:t>”Bevoegheid ... wat kan worden omschreven als het geheel van regels dat betrekking heeft op de verkrijging en uitoefening van bestuursrechtelijkte bevoegdheden door publiekrechtelijke rechtssubjecten in het bestuursrechtelijke rechtsverkeer”.</w:t>
      </w:r>
      <w:r>
        <w:rPr>
          <w:rStyle w:val="6"/>
          <w:rFonts w:ascii="Times New Roman" w:hAnsi="Times New Roman" w:cs="Times New Roman"/>
          <w:i/>
          <w:sz w:val="24"/>
          <w:szCs w:val="24"/>
          <w:lang w:val="fi-FI"/>
        </w:rPr>
        <w:footnoteReference w:id="9"/>
      </w:r>
    </w:p>
    <w:p>
      <w:pPr>
        <w:spacing w:after="0" w:line="240" w:lineRule="auto"/>
        <w:ind w:left="709"/>
        <w:jc w:val="both"/>
        <w:rPr>
          <w:rFonts w:ascii="Times New Roman" w:hAnsi="Times New Roman" w:cs="Times New Roman"/>
          <w:sz w:val="24"/>
          <w:szCs w:val="24"/>
          <w:lang w:val="fi-FI"/>
        </w:rPr>
      </w:pPr>
      <w:r>
        <w:rPr>
          <w:rFonts w:ascii="Times New Roman" w:hAnsi="Times New Roman" w:cs="Times New Roman"/>
          <w:sz w:val="24"/>
          <w:szCs w:val="24"/>
          <w:lang w:val="fi-FI"/>
        </w:rPr>
        <w:t>(Wewenang...dapat dijelaskan sebagai keseluruhan aturan-aturan yang berkenaan dengan perolehan dan penggunaan wewenang-wewenang pemerintah oleh subjek hukum publik dalam hubungan hukum publik).</w:t>
      </w:r>
    </w:p>
    <w:p>
      <w:pPr>
        <w:spacing w:after="0" w:line="240" w:lineRule="auto"/>
        <w:ind w:left="709"/>
        <w:jc w:val="both"/>
        <w:rPr>
          <w:rFonts w:ascii="Times New Roman" w:hAnsi="Times New Roman" w:cs="Times New Roman"/>
          <w:sz w:val="24"/>
          <w:szCs w:val="24"/>
          <w:lang w:val="fi-FI"/>
        </w:rPr>
      </w:pPr>
    </w:p>
    <w:p>
      <w:pPr>
        <w:spacing w:after="0" w:line="480" w:lineRule="auto"/>
        <w:jc w:val="both"/>
        <w:rPr>
          <w:rFonts w:ascii="Times New Roman" w:hAnsi="Times New Roman" w:cs="Times New Roman"/>
          <w:sz w:val="24"/>
          <w:szCs w:val="24"/>
          <w:lang w:val="fi-FI"/>
        </w:rPr>
      </w:pPr>
      <w:r>
        <w:rPr>
          <w:rFonts w:ascii="Times New Roman" w:hAnsi="Times New Roman" w:cs="Times New Roman"/>
          <w:sz w:val="24"/>
          <w:szCs w:val="24"/>
          <w:lang w:val="fi-FI"/>
        </w:rPr>
        <w:t>Sedangkan Nicolai memberi pengertian kewenangan sebagai berikut :</w:t>
      </w:r>
    </w:p>
    <w:p>
      <w:pPr>
        <w:spacing w:after="0" w:line="240" w:lineRule="auto"/>
        <w:ind w:left="851" w:hanging="141"/>
        <w:jc w:val="both"/>
        <w:rPr>
          <w:rFonts w:ascii="Times New Roman" w:hAnsi="Times New Roman" w:cs="Times New Roman"/>
          <w:i/>
          <w:sz w:val="24"/>
          <w:szCs w:val="24"/>
          <w:lang w:val="fi-FI"/>
        </w:rPr>
      </w:pPr>
      <w:r>
        <w:rPr>
          <w:rFonts w:ascii="Times New Roman" w:hAnsi="Times New Roman" w:cs="Times New Roman"/>
          <w:i/>
          <w:sz w:val="24"/>
          <w:szCs w:val="24"/>
          <w:lang w:val="fi-FI"/>
        </w:rPr>
        <w:t>”Met bevoegdneid wordt bedoeld: het vermogen tot het verrichten van bepaalde rechtshandelingen (handelingen die op rechtsgevolg gericht zijn en dus ertoe strekken dat bepaalde rechtsgevolgen ontstaan of teniet gaan)”.</w:t>
      </w:r>
      <w:r>
        <w:rPr>
          <w:rStyle w:val="6"/>
          <w:rFonts w:ascii="Times New Roman" w:hAnsi="Times New Roman" w:cs="Times New Roman"/>
          <w:i/>
          <w:sz w:val="24"/>
          <w:szCs w:val="24"/>
          <w:lang w:val="fi-FI"/>
        </w:rPr>
        <w:footnoteReference w:id="10"/>
      </w:r>
    </w:p>
    <w:p>
      <w:pPr>
        <w:spacing w:after="0" w:line="240" w:lineRule="auto"/>
        <w:ind w:left="851" w:hanging="141"/>
        <w:jc w:val="both"/>
        <w:rPr>
          <w:rFonts w:ascii="Times New Roman" w:hAnsi="Times New Roman" w:cs="Times New Roman"/>
          <w:sz w:val="24"/>
          <w:szCs w:val="24"/>
          <w:lang w:val="fi-FI"/>
        </w:rPr>
      </w:pPr>
      <w:r>
        <w:rPr>
          <w:rFonts w:ascii="Times New Roman" w:hAnsi="Times New Roman" w:cs="Times New Roman"/>
          <w:sz w:val="24"/>
          <w:szCs w:val="24"/>
          <w:lang w:val="fi-FI"/>
        </w:rPr>
        <w:t>(kewenangan berarti: kemampuan untuk melakukan tindakan hukum tertentu {tindakan yang dimaksudkan untuk menimbulkan akibat hukum, dan mencakup timbul dan lenyapnya akibat hukum tertentu).</w:t>
      </w:r>
    </w:p>
    <w:p>
      <w:pPr>
        <w:spacing w:after="0" w:line="240" w:lineRule="auto"/>
        <w:ind w:left="851" w:hanging="141"/>
        <w:jc w:val="both"/>
        <w:rPr>
          <w:rFonts w:ascii="Times New Roman" w:hAnsi="Times New Roman" w:cs="Times New Roman"/>
          <w:sz w:val="24"/>
          <w:szCs w:val="24"/>
          <w:lang w:val="fi-FI"/>
        </w:rPr>
      </w:pPr>
    </w:p>
    <w:p>
      <w:pPr>
        <w:pStyle w:val="2"/>
        <w:spacing w:after="0" w:line="360" w:lineRule="auto"/>
        <w:ind w:firstLine="630"/>
        <w:jc w:val="both"/>
        <w:rPr>
          <w:rFonts w:ascii="Times New Roman" w:hAnsi="Times New Roman"/>
          <w:sz w:val="24"/>
          <w:szCs w:val="24"/>
        </w:rPr>
      </w:pPr>
      <w:r>
        <w:rPr>
          <w:rFonts w:ascii="Times New Roman" w:hAnsi="Times New Roman"/>
          <w:sz w:val="24"/>
          <w:szCs w:val="24"/>
        </w:rPr>
        <w:t>Dalam Pasal 1 angka 5 Undang-Undang Nomor 30 Tahun 2014 tentang Administrasi Pemerintahan disebutkan, bahwa:</w:t>
      </w:r>
    </w:p>
    <w:p>
      <w:pPr>
        <w:pStyle w:val="2"/>
        <w:spacing w:after="0" w:line="240" w:lineRule="auto"/>
        <w:ind w:left="720"/>
        <w:jc w:val="both"/>
        <w:rPr>
          <w:rFonts w:ascii="Times New Roman" w:hAnsi="Times New Roman"/>
          <w:sz w:val="24"/>
          <w:szCs w:val="24"/>
        </w:rPr>
      </w:pPr>
      <w:r>
        <w:rPr>
          <w:rFonts w:ascii="Times New Roman" w:hAnsi="Times New Roman"/>
          <w:sz w:val="24"/>
          <w:szCs w:val="24"/>
        </w:rPr>
        <w:t>“Wewenang adalah hak yang dimiliki oleh Badan dan/atau Pejabat Pemerintahan atau penyelenggara negara lainnya untuk mengambil keputusan dan/atau tindakan dalam penyelenggaraan pemerintahan.”</w:t>
      </w:r>
    </w:p>
    <w:p>
      <w:pPr>
        <w:pStyle w:val="2"/>
        <w:spacing w:after="0" w:line="240" w:lineRule="auto"/>
        <w:ind w:left="720"/>
        <w:jc w:val="both"/>
        <w:rPr>
          <w:rFonts w:ascii="Times New Roman" w:hAnsi="Times New Roman"/>
          <w:sz w:val="24"/>
          <w:szCs w:val="24"/>
        </w:rPr>
      </w:pPr>
    </w:p>
    <w:p>
      <w:pPr>
        <w:pStyle w:val="2"/>
        <w:spacing w:line="240" w:lineRule="auto"/>
        <w:jc w:val="both"/>
        <w:rPr>
          <w:rFonts w:ascii="Times New Roman" w:hAnsi="Times New Roman"/>
          <w:sz w:val="24"/>
          <w:szCs w:val="24"/>
        </w:rPr>
      </w:pPr>
      <w:r>
        <w:rPr>
          <w:rFonts w:ascii="Times New Roman" w:hAnsi="Times New Roman"/>
          <w:sz w:val="24"/>
          <w:szCs w:val="24"/>
        </w:rPr>
        <w:t>Selanjutnya di dalam Pasal 1 angka 6 disebutkan, bahwa :</w:t>
      </w:r>
    </w:p>
    <w:p>
      <w:pPr>
        <w:pStyle w:val="2"/>
        <w:spacing w:line="240" w:lineRule="auto"/>
        <w:ind w:left="810"/>
        <w:jc w:val="both"/>
        <w:rPr>
          <w:rFonts w:ascii="Times New Roman" w:hAnsi="Times New Roman"/>
          <w:sz w:val="24"/>
          <w:szCs w:val="24"/>
        </w:rPr>
      </w:pPr>
      <w:r>
        <w:rPr>
          <w:rFonts w:ascii="Times New Roman" w:hAnsi="Times New Roman"/>
          <w:sz w:val="24"/>
          <w:szCs w:val="24"/>
        </w:rPr>
        <w:t>“Kewenangan Pemerintahan yang selanjutnya Kewenangan adalah kekuasaan Badan dan/atau Pejabat Pemerintahan atau penyelenggara negara lainnya untuk bertindak dalam ranah publik.”</w:t>
      </w:r>
    </w:p>
    <w:p>
      <w:pPr>
        <w:spacing w:after="0" w:line="360" w:lineRule="auto"/>
        <w:ind w:firstLine="720"/>
        <w:jc w:val="both"/>
        <w:rPr>
          <w:rFonts w:ascii="Times New Roman" w:hAnsi="Times New Roman" w:cs="Times New Roman"/>
          <w:sz w:val="24"/>
          <w:szCs w:val="24"/>
          <w:lang w:val="fi-FI"/>
        </w:rPr>
      </w:pPr>
      <w:r>
        <w:rPr>
          <w:rFonts w:ascii="Times New Roman" w:hAnsi="Times New Roman" w:cs="Times New Roman"/>
          <w:sz w:val="24"/>
          <w:szCs w:val="24"/>
        </w:rPr>
        <w:t>Bertalian dengan uraian di atas, tampak bahwa wewenang itu merupakan kekuasaan (hak) yang diberikan kepada pejabat publik atau pemerintah untuk memerintah atau bertindak.</w:t>
      </w:r>
      <w:r>
        <w:rPr>
          <w:rFonts w:ascii="Times New Roman" w:hAnsi="Times New Roman" w:cs="Times New Roman"/>
          <w:sz w:val="24"/>
          <w:szCs w:val="24"/>
          <w:lang w:val="fi-FI"/>
        </w:rPr>
        <w:t xml:space="preserve"> </w:t>
      </w:r>
    </w:p>
    <w:p>
      <w:pPr>
        <w:spacing w:after="0" w:line="360" w:lineRule="auto"/>
        <w:ind w:firstLine="720"/>
        <w:jc w:val="both"/>
        <w:rPr>
          <w:rFonts w:ascii="Times New Roman" w:hAnsi="Times New Roman" w:cs="Times New Roman"/>
          <w:sz w:val="24"/>
          <w:szCs w:val="24"/>
          <w:lang w:val="fi-FI"/>
        </w:rPr>
      </w:pPr>
      <w:r>
        <w:rPr>
          <w:rFonts w:ascii="Times New Roman" w:hAnsi="Times New Roman" w:cs="Times New Roman"/>
          <w:sz w:val="24"/>
          <w:szCs w:val="24"/>
          <w:lang w:val="fi-FI"/>
        </w:rPr>
        <w:t>Dalam berbagai literatur ada yang membedakan antara wewenang dengan kekuasaan. Bagir Manan misalnya mengatakan bahwa kekuasaan tidak sama dengan wewenang. Menurut Bagir Manan, kekuasaan menggambarkan hak untuk berbuat atau tidak berbuat. Wewenang berarti hak dan sekaligus kewajiban (</w:t>
      </w:r>
      <w:r>
        <w:rPr>
          <w:rFonts w:ascii="Times New Roman" w:hAnsi="Times New Roman" w:cs="Times New Roman"/>
          <w:i/>
          <w:sz w:val="24"/>
          <w:szCs w:val="24"/>
          <w:lang w:val="fi-FI"/>
        </w:rPr>
        <w:t>rechten en plichten</w:t>
      </w:r>
      <w:r>
        <w:rPr>
          <w:rFonts w:ascii="Times New Roman" w:hAnsi="Times New Roman" w:cs="Times New Roman"/>
          <w:sz w:val="24"/>
          <w:szCs w:val="24"/>
          <w:lang w:val="fi-FI"/>
        </w:rPr>
        <w:t>).</w:t>
      </w:r>
      <w:r>
        <w:rPr>
          <w:rStyle w:val="6"/>
          <w:rFonts w:ascii="Times New Roman" w:hAnsi="Times New Roman" w:cs="Times New Roman"/>
          <w:sz w:val="24"/>
          <w:szCs w:val="24"/>
          <w:lang w:val="fi-FI"/>
        </w:rPr>
        <w:footnoteReference w:id="11"/>
      </w:r>
      <w:r>
        <w:rPr>
          <w:rFonts w:ascii="Times New Roman" w:hAnsi="Times New Roman" w:cs="Times New Roman"/>
          <w:sz w:val="24"/>
          <w:szCs w:val="24"/>
          <w:lang w:val="fi-FI"/>
        </w:rPr>
        <w:t xml:space="preserve"> Tetapi, penulis sependapat dengan Irfan Fachruddin yang mengatakan ”tidak terdapat perbedaan yang prinsip pada pengertian ”kekuasaan” dan ”wewenang”, hanya penggunaan istilah yang berbeda.</w:t>
      </w:r>
      <w:r>
        <w:rPr>
          <w:rStyle w:val="6"/>
          <w:rFonts w:ascii="Times New Roman" w:hAnsi="Times New Roman" w:cs="Times New Roman"/>
          <w:sz w:val="24"/>
          <w:szCs w:val="24"/>
          <w:lang w:val="fi-FI"/>
        </w:rPr>
        <w:footnoteReference w:id="12"/>
      </w:r>
      <w:r>
        <w:rPr>
          <w:rFonts w:ascii="Times New Roman" w:hAnsi="Times New Roman" w:cs="Times New Roman"/>
          <w:sz w:val="24"/>
          <w:szCs w:val="24"/>
          <w:lang w:val="fi-FI"/>
        </w:rPr>
        <w:t xml:space="preserve"> Artinya kekuasaan dan wewenang mempunyai arti yang sama.</w:t>
      </w:r>
    </w:p>
    <w:p>
      <w:pPr>
        <w:spacing w:after="0" w:line="360" w:lineRule="auto"/>
        <w:ind w:firstLine="720"/>
        <w:jc w:val="both"/>
        <w:rPr>
          <w:rFonts w:ascii="Times New Roman" w:hAnsi="Times New Roman" w:cs="Times New Roman"/>
          <w:sz w:val="24"/>
          <w:szCs w:val="24"/>
          <w:lang w:val="fi-FI"/>
        </w:rPr>
      </w:pPr>
      <w:r>
        <w:rPr>
          <w:rFonts w:ascii="Times New Roman" w:hAnsi="Times New Roman" w:cs="Times New Roman"/>
          <w:sz w:val="24"/>
          <w:szCs w:val="24"/>
          <w:lang w:val="fi-FI"/>
        </w:rPr>
        <w:t>Berdasarkan uraian di atas, apa bila dihubungkan dengan pembentukan dan Perda dan Perkada, kewenangan itu merupakan delegasi dari ketentuan UUD 1945 serta ketentuan pelaksanaannya. Hal itu harus dihormati dan dihargai. Tetapi, dalam penggunaan kewenangan itu perlu ada  pengawasan agar tidak disalahgunakan.</w:t>
      </w:r>
    </w:p>
    <w:p>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Seperti dikemukakan oleh Irfan Fachruddin</w:t>
      </w:r>
      <w:r>
        <w:rPr>
          <w:rStyle w:val="6"/>
          <w:rFonts w:ascii="Times New Roman" w:hAnsi="Times New Roman" w:cs="Times New Roman"/>
          <w:sz w:val="24"/>
          <w:szCs w:val="24"/>
        </w:rPr>
        <w:footnoteReference w:id="13"/>
      </w:r>
      <w:r>
        <w:rPr>
          <w:rFonts w:ascii="Times New Roman" w:hAnsi="Times New Roman" w:cs="Times New Roman"/>
          <w:sz w:val="24"/>
          <w:szCs w:val="24"/>
        </w:rPr>
        <w:t>, kata pengawasan berasal dari kata awas, berarti antara lain penjagaan. Bertalian dengan pengawasan yang dilakukan terhadap pembentukan Perda dan Perkada, tentu pengawasan secara kelembagaan perlu dilakukan. Menurut Irfan Fachruddin, pengawasan dapat dipandang dari dua sudut, yakni : kontrol intern (</w:t>
      </w:r>
      <w:r>
        <w:rPr>
          <w:rFonts w:ascii="Times New Roman" w:hAnsi="Times New Roman" w:cs="Times New Roman"/>
          <w:i/>
          <w:sz w:val="24"/>
          <w:szCs w:val="24"/>
        </w:rPr>
        <w:t>internal control</w:t>
      </w:r>
      <w:r>
        <w:rPr>
          <w:rFonts w:ascii="Times New Roman" w:hAnsi="Times New Roman" w:cs="Times New Roman"/>
          <w:sz w:val="24"/>
          <w:szCs w:val="24"/>
        </w:rPr>
        <w:t>) dan kontrol ekstern (</w:t>
      </w:r>
      <w:r>
        <w:rPr>
          <w:rFonts w:ascii="Times New Roman" w:hAnsi="Times New Roman" w:cs="Times New Roman"/>
          <w:i/>
          <w:sz w:val="24"/>
          <w:szCs w:val="24"/>
        </w:rPr>
        <w:t>external control</w:t>
      </w:r>
      <w:r>
        <w:rPr>
          <w:rFonts w:ascii="Times New Roman" w:hAnsi="Times New Roman" w:cs="Times New Roman"/>
          <w:sz w:val="24"/>
          <w:szCs w:val="24"/>
        </w:rPr>
        <w:t>)</w:t>
      </w:r>
      <w:r>
        <w:rPr>
          <w:rStyle w:val="6"/>
          <w:rFonts w:ascii="Times New Roman" w:hAnsi="Times New Roman" w:cs="Times New Roman"/>
          <w:sz w:val="24"/>
          <w:szCs w:val="24"/>
        </w:rPr>
        <w:footnoteReference w:id="14"/>
      </w:r>
      <w:r>
        <w:rPr>
          <w:rFonts w:ascii="Times New Roman" w:hAnsi="Times New Roman"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Kontrol internal adalah pengawasan yang dilakukan oleh suatu badan/organ yang secara struktural adalah masih termasuk dalam lingkungan organisasi. Misalnya : pengawasan yang dilakukan oleh pejabat atasan terhadap bawahannya secara hierarkhis. Bentuk kontrol semacam itu dapat digolongkan sebagai jenis kontrol teknis-administratif atau </w:t>
      </w:r>
      <w:r>
        <w:rPr>
          <w:rFonts w:ascii="Times New Roman" w:hAnsi="Times New Roman" w:cs="Times New Roman"/>
          <w:i/>
          <w:sz w:val="24"/>
          <w:szCs w:val="24"/>
        </w:rPr>
        <w:t>built-in control</w:t>
      </w:r>
      <w:r>
        <w:rPr>
          <w:rFonts w:ascii="Times New Roman" w:hAnsi="Times New Roman" w:cs="Times New Roman"/>
          <w:sz w:val="24"/>
          <w:szCs w:val="24"/>
        </w:rPr>
        <w:t>. Apabila hal itu dikaitkan dengan pembentukan Perda dan Perkada, kontrol itu dilakukan oleh Kemendagri terhadap Perda dan Perkada Provinsi, dan Gubernur untuk Perda dan Perkada Kabupaten/Kota. Kontrol eksternal (</w:t>
      </w:r>
      <w:r>
        <w:rPr>
          <w:rFonts w:ascii="Times New Roman" w:hAnsi="Times New Roman" w:cs="Times New Roman"/>
          <w:i/>
          <w:sz w:val="24"/>
          <w:szCs w:val="24"/>
        </w:rPr>
        <w:t>external control</w:t>
      </w:r>
      <w:r>
        <w:rPr>
          <w:rFonts w:ascii="Times New Roman" w:hAnsi="Times New Roman" w:cs="Times New Roman"/>
          <w:sz w:val="24"/>
          <w:szCs w:val="24"/>
        </w:rPr>
        <w:t xml:space="preserve">) adalah pengawasan yang dilakukan oleh badan/organ secara struktural organisasi berada di luar organisasi. Misalnya, kontrol yang dilakukan oleh oleh Mahkamah Agung dalam pembatalan Perda dan Perkada melalui </w:t>
      </w:r>
      <w:r>
        <w:rPr>
          <w:rFonts w:ascii="Times New Roman" w:hAnsi="Times New Roman" w:cs="Times New Roman"/>
          <w:i/>
          <w:sz w:val="24"/>
          <w:szCs w:val="24"/>
        </w:rPr>
        <w:t>judicial review</w:t>
      </w:r>
      <w:r>
        <w:rPr>
          <w:rFonts w:ascii="Times New Roman" w:hAnsi="Times New Roman"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firstLine="720"/>
        <w:jc w:val="both"/>
        <w:textAlignment w:val="auto"/>
        <w:rPr>
          <w:rFonts w:ascii="Times New Roman" w:hAnsi="Times New Roman" w:cs="Times New Roman"/>
          <w:sz w:val="24"/>
          <w:szCs w:val="24"/>
        </w:rPr>
      </w:pPr>
      <w:r>
        <w:rPr>
          <w:rFonts w:ascii="Times New Roman" w:hAnsi="Times New Roman" w:cs="Times New Roman"/>
          <w:sz w:val="24"/>
          <w:szCs w:val="24"/>
        </w:rPr>
        <w:t xml:space="preserve">Bertalian dengan pengawasan terhadap pembentukan Perda dan Perkada, kepadanya dapat dilakukan baik secara internal maupun external. Pengawasan internal dilakukan sesuai dengan </w:t>
      </w:r>
      <w:r>
        <w:rPr>
          <w:rFonts w:ascii="Times New Roman" w:hAnsi="Times New Roman" w:cs="Times New Roman"/>
          <w:color w:val="000000"/>
          <w:sz w:val="24"/>
          <w:szCs w:val="24"/>
        </w:rPr>
        <w:t>Pasal 8 ayat (2) UU. No. 23 Tahun 2014, yang mengatakan bahwa Gubernur sebagai wakil Pemerintah Pusat mempunyai kewenangan untuk melakukan pengawasan dan pembinaan terhadap penyelenggaraan Urusan Pemerintahan di Kabupaten/Kota. Secara khusus, pembinaan itu dapat dilakukan dalam setiap penerbitan Perda dan Perkada.</w:t>
      </w:r>
      <w:r>
        <w:rPr>
          <w:rFonts w:ascii="Times New Roman" w:hAnsi="Times New Roman" w:cs="Times New Roman"/>
          <w:sz w:val="24"/>
          <w:szCs w:val="24"/>
        </w:rPr>
        <w:t xml:space="preserve">Hanya patut dipertimbangkan, agar kepada lembaga yang melakukan pengawasan terhadap penyelenggaraan pemerintahan daerah tidak mengganggu hubungan antara Pemda dengan pemerintah pusat. Oleh karena itu, pengawasan pembentukan Perda dan Perkada, hal itu tidak boleh berpegang hanya pada apa yang ada dalam peraturan perundang-undangan semata (sebagaimana diajarkan oleh aliran yuridis-positivisme), tetapi harus memperhatikan jiwa yang menguasai tata hukum yang memberlakukan peraturan perundang-undangan itu. Tugas Pemda adalah menyelenggarakan pemerintahan daerah. Tugas itu harus dilakukan secara elegan dan tidak kaku. Artinya, jangan karena Presiden sebagai kepala pemerintahan, ia bertindak diktator. Perlu diberi kebebasan kepada Pemda untuk menjalankan pemerintahan, sebab kebebasan Pemda dalam menjalankan pemerintahan di daerah dijamin oleh konstitusi. Begitu sebaliknya, Pemda juga dalam menjalankan pemerintahan di daerah harus mentaati ketentuan peraturan perundang-undangan yang berlaku.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Pengawasan ekternal dilakukan oleh Mahkamah Agung melalui </w:t>
      </w:r>
      <w:r>
        <w:rPr>
          <w:rFonts w:ascii="Times New Roman" w:hAnsi="Times New Roman" w:cs="Times New Roman"/>
          <w:i/>
          <w:sz w:val="24"/>
          <w:szCs w:val="24"/>
        </w:rPr>
        <w:t>yudicial review.</w:t>
      </w:r>
      <w:r>
        <w:rPr>
          <w:rFonts w:ascii="Times New Roman" w:hAnsi="Times New Roman" w:cs="Times New Roman"/>
          <w:sz w:val="24"/>
          <w:szCs w:val="24"/>
        </w:rPr>
        <w:t xml:space="preserve">Langkah ini diambil apabila diduga ada Perda dan Perkada bermasalah. Hal itu sesuai Pasal 20 ayat (1) Undang-Undang Nomor 48 Tahun 2009 tentang Kekuasaan Kehakiman yang menggantikan Undang-Undang Nomor 4 Tahun 2004 yang mengatakan, bahwa “Mahkamah Agung berwenang: b. menguji peraturan perundang-undangan di bawah Undang-Undang terhadap Undang-Undang”. Ketentuan ini mengatur mengenai hak uji Mahkamah Agung terhadap peraturan perundang-undangan yang lebih rendah  dari Undang-Undang. Hak uji dapat dilakukan baik terhadap materi muatan ayat, pasal, dan/atau bagian dari peraturan perundang-undangan yang lebih tinggi maupun terhadap pembentukan peraturan perundang-undangan. </w:t>
      </w: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ind w:firstLine="720"/>
        <w:jc w:val="both"/>
        <w:rPr>
          <w:rFonts w:ascii="Times New Roman" w:hAnsi="Times New Roman" w:cs="Times New Roman"/>
          <w:sz w:val="24"/>
          <w:szCs w:val="24"/>
        </w:rPr>
      </w:pPr>
    </w:p>
    <w:p>
      <w:pPr>
        <w:spacing w:line="360" w:lineRule="auto"/>
        <w:jc w:val="center"/>
        <w:rPr>
          <w:rFonts w:ascii="Times New Roman" w:hAnsi="Times New Roman" w:cs="Times New Roman"/>
          <w:b/>
          <w:sz w:val="24"/>
          <w:szCs w:val="24"/>
          <w:lang w:val="sv-SE"/>
        </w:rPr>
      </w:pPr>
      <w:r>
        <w:rPr>
          <w:rFonts w:ascii="Times New Roman" w:hAnsi="Times New Roman" w:cs="Times New Roman"/>
          <w:b/>
          <w:sz w:val="24"/>
          <w:szCs w:val="24"/>
          <w:lang w:val="sv-SE"/>
        </w:rPr>
        <w:t>B A B  II</w:t>
      </w:r>
    </w:p>
    <w:p>
      <w:pPr>
        <w:spacing w:line="360" w:lineRule="auto"/>
        <w:jc w:val="center"/>
        <w:rPr>
          <w:rFonts w:ascii="Times New Roman" w:hAnsi="Times New Roman" w:cs="Times New Roman"/>
          <w:b/>
          <w:sz w:val="24"/>
          <w:szCs w:val="24"/>
          <w:lang w:val="sv-SE"/>
        </w:rPr>
      </w:pPr>
      <w:r>
        <w:rPr>
          <w:rFonts w:ascii="Times New Roman" w:hAnsi="Times New Roman" w:cs="Times New Roman"/>
          <w:b/>
          <w:sz w:val="24"/>
          <w:szCs w:val="24"/>
          <w:lang w:val="sv-SE"/>
        </w:rPr>
        <w:t>KAJIAN TEORIETIS TERHADAP KEWENANGAN, PENGAWASAN, PEMBENTUKAN DAN PEMBATALAN PERATURAN DAERAH</w:t>
      </w:r>
    </w:p>
    <w:p>
      <w:pPr>
        <w:keepNext w:val="0"/>
        <w:keepLines w:val="0"/>
        <w:pageBreakBefore w:val="0"/>
        <w:widowControl/>
        <w:numPr>
          <w:ilvl w:val="0"/>
          <w:numId w:val="16"/>
        </w:numPr>
        <w:kinsoku/>
        <w:wordWrap/>
        <w:overflowPunct/>
        <w:topLinePunct w:val="0"/>
        <w:autoSpaceDE/>
        <w:autoSpaceDN/>
        <w:bidi w:val="0"/>
        <w:adjustRightInd/>
        <w:snapToGrid/>
        <w:spacing w:after="0" w:line="360" w:lineRule="auto"/>
        <w:ind w:left="425" w:leftChars="0" w:hanging="425" w:firstLineChars="0"/>
        <w:jc w:val="both"/>
        <w:textAlignment w:val="auto"/>
        <w:rPr>
          <w:rFonts w:ascii="Times New Roman" w:hAnsi="Times New Roman" w:cs="Times New Roman"/>
          <w:b/>
          <w:sz w:val="24"/>
          <w:szCs w:val="24"/>
          <w:lang w:val="de-DE"/>
        </w:rPr>
      </w:pPr>
      <w:r>
        <w:rPr>
          <w:rFonts w:ascii="Times New Roman" w:hAnsi="Times New Roman" w:cs="Times New Roman"/>
          <w:b/>
          <w:sz w:val="24"/>
          <w:szCs w:val="24"/>
          <w:lang w:val="de-DE"/>
        </w:rPr>
        <w:t>Kewenangan</w:t>
      </w:r>
    </w:p>
    <w:p>
      <w:pPr>
        <w:keepNext w:val="0"/>
        <w:keepLines w:val="0"/>
        <w:pageBreakBefore w:val="0"/>
        <w:widowControl/>
        <w:numPr>
          <w:ilvl w:val="0"/>
          <w:numId w:val="17"/>
        </w:numPr>
        <w:kinsoku/>
        <w:wordWrap/>
        <w:overflowPunct/>
        <w:topLinePunct w:val="0"/>
        <w:autoSpaceDE/>
        <w:autoSpaceDN/>
        <w:bidi w:val="0"/>
        <w:adjustRightInd/>
        <w:snapToGrid/>
        <w:spacing w:after="0" w:line="360" w:lineRule="auto"/>
        <w:ind w:left="845" w:leftChars="0" w:hanging="425" w:firstLineChars="0"/>
        <w:jc w:val="both"/>
        <w:textAlignment w:val="auto"/>
        <w:rPr>
          <w:rFonts w:ascii="Times New Roman" w:hAnsi="Times New Roman" w:cs="Times New Roman"/>
          <w:b/>
          <w:sz w:val="24"/>
          <w:szCs w:val="24"/>
          <w:lang w:val="de-DE"/>
        </w:rPr>
      </w:pPr>
      <w:r>
        <w:rPr>
          <w:rFonts w:ascii="Times New Roman" w:hAnsi="Times New Roman" w:cs="Times New Roman"/>
          <w:b/>
          <w:sz w:val="24"/>
          <w:szCs w:val="24"/>
          <w:lang w:val="de-DE"/>
        </w:rPr>
        <w:t xml:space="preserve">Istilah dan Pengertian Kewenangan </w:t>
      </w:r>
    </w:p>
    <w:p>
      <w:pPr>
        <w:keepNext w:val="0"/>
        <w:keepLines w:val="0"/>
        <w:pageBreakBefore w:val="0"/>
        <w:widowControl/>
        <w:kinsoku/>
        <w:wordWrap/>
        <w:overflowPunct/>
        <w:topLinePunct w:val="0"/>
        <w:autoSpaceDE/>
        <w:autoSpaceDN/>
        <w:bidi w:val="0"/>
        <w:adjustRightInd/>
        <w:snapToGrid/>
        <w:spacing w:after="0" w:line="360" w:lineRule="auto"/>
        <w:ind w:firstLine="720"/>
        <w:jc w:val="both"/>
        <w:textAlignment w:val="auto"/>
        <w:rPr>
          <w:rFonts w:ascii="Times New Roman" w:hAnsi="Times New Roman" w:cs="Times New Roman"/>
          <w:sz w:val="24"/>
          <w:szCs w:val="24"/>
          <w:lang w:val="de-DE"/>
        </w:rPr>
      </w:pPr>
      <w:r>
        <w:rPr>
          <w:rFonts w:ascii="Times New Roman" w:hAnsi="Times New Roman" w:cs="Times New Roman"/>
          <w:sz w:val="24"/>
          <w:szCs w:val="24"/>
          <w:lang w:val="de-DE"/>
        </w:rPr>
        <w:t>Sebagaimana disebut oleh S.F. Marbun bahwa kewenangan (</w:t>
      </w:r>
      <w:r>
        <w:rPr>
          <w:rFonts w:ascii="Times New Roman" w:hAnsi="Times New Roman" w:cs="Times New Roman"/>
          <w:i/>
          <w:sz w:val="24"/>
          <w:szCs w:val="24"/>
          <w:lang w:val="de-DE"/>
        </w:rPr>
        <w:t>authority, gezag</w:t>
      </w:r>
      <w:r>
        <w:rPr>
          <w:rFonts w:ascii="Times New Roman" w:hAnsi="Times New Roman" w:cs="Times New Roman"/>
          <w:sz w:val="24"/>
          <w:szCs w:val="24"/>
          <w:lang w:val="de-DE"/>
        </w:rPr>
        <w:t>) adalah kekuasaan yang diformalkan baik terhadap segolongan orang tertentu, maupun kekuasaan terhadap sesuatu bidang pemerintahan tertentu secara bulat yang berasal dari kekuasaan legislatif maupun dari kekuasaan pemerintah, sedangkan Wewenang (</w:t>
      </w:r>
      <w:r>
        <w:rPr>
          <w:rFonts w:ascii="Times New Roman" w:hAnsi="Times New Roman" w:cs="Times New Roman"/>
          <w:i/>
          <w:sz w:val="24"/>
          <w:szCs w:val="24"/>
          <w:lang w:val="de-DE"/>
        </w:rPr>
        <w:t>competence, bevoegheid</w:t>
      </w:r>
      <w:r>
        <w:rPr>
          <w:rFonts w:ascii="Times New Roman" w:hAnsi="Times New Roman" w:cs="Times New Roman"/>
          <w:sz w:val="24"/>
          <w:szCs w:val="24"/>
          <w:lang w:val="de-DE"/>
        </w:rPr>
        <w:t>) hanya mengenai sesuatu onderdil tertentu atau bidang tertentu  saja. Jadi kewenangan  merupakan kumpulan  dari wewenang-wewenang (</w:t>
      </w:r>
      <w:r>
        <w:rPr>
          <w:rFonts w:ascii="Times New Roman" w:hAnsi="Times New Roman" w:cs="Times New Roman"/>
          <w:i/>
          <w:sz w:val="24"/>
          <w:szCs w:val="24"/>
          <w:lang w:val="de-DE"/>
        </w:rPr>
        <w:t>rechtsbevoegdheden</w:t>
      </w:r>
      <w:r>
        <w:rPr>
          <w:rFonts w:ascii="Times New Roman" w:hAnsi="Times New Roman" w:cs="Times New Roman"/>
          <w:sz w:val="24"/>
          <w:szCs w:val="24"/>
          <w:lang w:val="de-DE"/>
        </w:rPr>
        <w:t>), misalnya wewenang menadatangani suatu surat keputusan oleh seorang pejabat atas nama Menteri, sedangkan kewenangannya tetap berada di tangan Menteri.</w:t>
      </w:r>
      <w:r>
        <w:rPr>
          <w:rStyle w:val="6"/>
          <w:rFonts w:ascii="Times New Roman" w:hAnsi="Times New Roman" w:cs="Times New Roman"/>
          <w:sz w:val="24"/>
          <w:szCs w:val="24"/>
          <w:lang w:val="de-DE"/>
        </w:rPr>
        <w:footnoteReference w:id="15"/>
      </w:r>
      <w:r>
        <w:rPr>
          <w:rFonts w:ascii="Times New Roman" w:hAnsi="Times New Roman" w:cs="Times New Roman"/>
          <w:sz w:val="24"/>
          <w:szCs w:val="24"/>
          <w:lang w:val="de-DE"/>
        </w:rPr>
        <w:t xml:space="preserve"> Dalam hal demikian, menurut Prajudi Atmosudirdjo disebut delegasi wewenang,</w:t>
      </w:r>
      <w:r>
        <w:rPr>
          <w:rStyle w:val="6"/>
          <w:rFonts w:ascii="Times New Roman" w:hAnsi="Times New Roman" w:cs="Times New Roman"/>
          <w:sz w:val="24"/>
          <w:szCs w:val="24"/>
          <w:lang w:val="de-DE"/>
        </w:rPr>
        <w:footnoteReference w:id="16"/>
      </w:r>
      <w:r>
        <w:rPr>
          <w:rFonts w:ascii="Times New Roman" w:hAnsi="Times New Roman" w:cs="Times New Roman"/>
          <w:sz w:val="24"/>
          <w:szCs w:val="24"/>
          <w:lang w:val="de-DE"/>
        </w:rPr>
        <w:t xml:space="preserve"> sedangkan menurut S.F. Marbun yang terjadi adalah pemberian mandat, di mana tanggung jawab dan tanggung gugat tetap berada pada pemberi mandat (Menteri sebagai </w:t>
      </w:r>
      <w:r>
        <w:rPr>
          <w:rFonts w:ascii="Times New Roman" w:hAnsi="Times New Roman" w:cs="Times New Roman"/>
          <w:i/>
          <w:sz w:val="24"/>
          <w:szCs w:val="24"/>
          <w:lang w:val="de-DE"/>
        </w:rPr>
        <w:t>mandans</w:t>
      </w:r>
      <w:r>
        <w:rPr>
          <w:rFonts w:ascii="Times New Roman" w:hAnsi="Times New Roman" w:cs="Times New Roman"/>
          <w:sz w:val="24"/>
          <w:szCs w:val="24"/>
          <w:lang w:val="de-DE"/>
        </w:rPr>
        <w:t>).</w:t>
      </w:r>
      <w:r>
        <w:rPr>
          <w:rStyle w:val="6"/>
          <w:rFonts w:ascii="Times New Roman" w:hAnsi="Times New Roman" w:cs="Times New Roman"/>
          <w:sz w:val="24"/>
          <w:szCs w:val="24"/>
          <w:lang w:val="de-DE"/>
        </w:rPr>
        <w:footnoteReference w:id="17"/>
      </w:r>
    </w:p>
    <w:p>
      <w:pPr>
        <w:spacing w:after="0" w:line="360" w:lineRule="auto"/>
        <w:ind w:firstLine="720"/>
        <w:jc w:val="both"/>
        <w:rPr>
          <w:rFonts w:ascii="Times New Roman" w:hAnsi="Times New Roman" w:cs="Times New Roman"/>
          <w:sz w:val="24"/>
          <w:szCs w:val="24"/>
          <w:lang w:val="de-DE"/>
        </w:rPr>
      </w:pPr>
      <w:r>
        <w:rPr>
          <w:rFonts w:ascii="Times New Roman" w:hAnsi="Times New Roman" w:cs="Times New Roman"/>
          <w:sz w:val="24"/>
          <w:szCs w:val="24"/>
          <w:lang w:val="de-DE"/>
        </w:rPr>
        <w:t>Berdasarkan pengertian di atas tampak bahwa kewewenangan adalah kemampuan untuk melakukan suatu tindakan hukum publik. Secara yuridis wewenang adalah kemampuan bertindak yang diberikan oleh Undang-Undang yang berlaku untuk melakukan hubungan-hubungan hukum. Kewewenangan sebagai konsep hukum publik, menurut Philipus M. Hadjon sekurang-kurangnya terdiri dari 3 (tiga) komponen, yaitu pengaruh, dasar hukum, dan konformitas hukum. Komponen pengaruh ialah bahwa penggunaan wewenang dimaksudkan untuk mengendalikan perilaku subjek hukum. Komponen ini dimaksudkan, agar pejabat negara tidak menggunakan wewenangnya di luar tujuan yang ditentukan peraturan perundang-undangan. Komponen dasar hukum bahwa wewenang itu selalu harus dapat ditunjuk dasar hukumnya. Komponen ini bertujuan bahwa setiap tindak pemerintah atau pejabat negara selalu mempunyai dasar hukum dalam hal bertindak. Komponen konformitas mengandung makna adanya standar wewenang yaitu standar umum (semua jenis wewenang) dan standar khusus (untuk jenis wewenang tertentu).</w:t>
      </w:r>
      <w:r>
        <w:rPr>
          <w:rStyle w:val="6"/>
          <w:rFonts w:ascii="Times New Roman" w:hAnsi="Times New Roman" w:cs="Times New Roman"/>
          <w:sz w:val="24"/>
          <w:szCs w:val="24"/>
          <w:lang w:val="de-DE"/>
        </w:rPr>
        <w:footnoteReference w:id="18"/>
      </w:r>
      <w:r>
        <w:rPr>
          <w:rFonts w:ascii="Times New Roman" w:hAnsi="Times New Roman" w:cs="Times New Roman"/>
          <w:sz w:val="24"/>
          <w:szCs w:val="24"/>
          <w:lang w:val="de-DE"/>
        </w:rPr>
        <w:t xml:space="preserve"> Komponen ini menghendaki agar setiap tindak pemerintahan atau pejabat negara mempunyai tolok ukur atau standar yang bersifat umum untuk semua jenis wewenang yang bertumpuk pada legalitas tindakan.</w:t>
      </w:r>
    </w:p>
    <w:p>
      <w:pPr>
        <w:spacing w:after="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b/>
      </w:r>
      <w:r>
        <w:rPr>
          <w:rFonts w:ascii="Times New Roman" w:hAnsi="Times New Roman" w:cs="Times New Roman"/>
          <w:sz w:val="24"/>
          <w:szCs w:val="24"/>
          <w:lang w:val="de-DE"/>
        </w:rPr>
        <w:t xml:space="preserve">Sifat wewenang pemerintahan antaran lain </w:t>
      </w:r>
      <w:r>
        <w:rPr>
          <w:rFonts w:ascii="Times New Roman" w:hAnsi="Times New Roman" w:cs="Times New Roman"/>
          <w:i/>
          <w:sz w:val="24"/>
          <w:szCs w:val="24"/>
          <w:lang w:val="de-DE"/>
        </w:rPr>
        <w:t>expressimplied</w:t>
      </w:r>
      <w:r>
        <w:rPr>
          <w:rFonts w:ascii="Times New Roman" w:hAnsi="Times New Roman" w:cs="Times New Roman"/>
          <w:sz w:val="24"/>
          <w:szCs w:val="24"/>
          <w:lang w:val="de-DE"/>
        </w:rPr>
        <w:t>, jelas maksud dan tujuannya, terikat pada waktu tertentu dan tunduk pada batasan-batasan hukum tertulis dan hukum tidak tertulis. Sedangkan “isinya“ dapat bersifat umum (abstrak) misalnya membuat suatu peraturan dan dapat pula bersifat konkrit dalam bentuk suatu keputusan atau suatu rencana, misalnya membuat Rencana Pembangunan Daerah serta memberikan nasehat.</w:t>
      </w:r>
    </w:p>
    <w:p>
      <w:pPr>
        <w:spacing w:after="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b/>
      </w:r>
      <w:r>
        <w:rPr>
          <w:rFonts w:ascii="Times New Roman" w:hAnsi="Times New Roman" w:cs="Times New Roman"/>
          <w:sz w:val="24"/>
          <w:szCs w:val="24"/>
          <w:lang w:val="de-DE"/>
        </w:rPr>
        <w:t>Kecuali itu dikenal pula adanya wewenang pemerintahan bersifat “fakultatif“, yaitu apabila peraturan dasarnya menentukan kapan dan dalam keadaan bagaimana wewenang tersebut dapat dipergunakan. Jadi, badan/pejabat tata usaha negara tidak wajib menggunakan wewenangnya, karena masih ada pilihan (alternatif) dan pilihan itu hanya dapat dilakukan setelah keadaan atau hal-hal yang ditentukan dalam peraturan dasarnya dipenuhi. Untuk mengetahui apakah wewenang itu bersifat fakultatif atau tidak, tergantung kepada peraturan dasarnya. Sedangkan wewenang pemerintahan yang bersifat “terikat“ (</w:t>
      </w:r>
      <w:r>
        <w:rPr>
          <w:rFonts w:ascii="Times New Roman" w:hAnsi="Times New Roman" w:cs="Times New Roman"/>
          <w:i/>
          <w:sz w:val="24"/>
          <w:szCs w:val="24"/>
          <w:lang w:val="de-DE"/>
        </w:rPr>
        <w:t>gebonden bestuur</w:t>
      </w:r>
      <w:r>
        <w:rPr>
          <w:rFonts w:ascii="Times New Roman" w:hAnsi="Times New Roman" w:cs="Times New Roman"/>
          <w:sz w:val="24"/>
          <w:szCs w:val="24"/>
          <w:lang w:val="de-DE"/>
        </w:rPr>
        <w:t>) yaitu, apabila peraturan dasarnya menentukan isi suatu keputusan yang harus diambil secara terinci, sehingga pejabat tata usaha negara  tidak dapat berbuat lain kecuali melaksanakan secara harfiah seperti dalam rumusan peraturan dasarnya, atau suatu ketentuan yang terdapat pada Pasal 3 Undang-Undang Nomor 5 Tahun 1986 tentang Peradilan Tata Usaha Negara atau suatu ketentuan yang berbunyi, Pejabat yang berwenang “wajib“ memberikan cuti kepada bawahannya. Jadi, pejabat tersebut harus memberikan cuti dan tidak ada alternatif lainnya. Berbeda dengan wewenang yang bersifat “bebas“ (</w:t>
      </w:r>
      <w:r>
        <w:rPr>
          <w:rFonts w:ascii="Times New Roman" w:hAnsi="Times New Roman" w:cs="Times New Roman"/>
          <w:i/>
          <w:sz w:val="24"/>
          <w:szCs w:val="24"/>
          <w:lang w:val="de-DE"/>
        </w:rPr>
        <w:t>discretions</w:t>
      </w:r>
      <w:r>
        <w:rPr>
          <w:rFonts w:ascii="Times New Roman" w:hAnsi="Times New Roman" w:cs="Times New Roman"/>
          <w:sz w:val="24"/>
          <w:szCs w:val="24"/>
          <w:lang w:val="de-DE"/>
        </w:rPr>
        <w:t>), di mana peraturan badan/pejabat tata usaha negara, untuk menolak atau mengabulkan, dengan mengkaitkannya atau meletakkannya syarat-syarat tertentu yang harus dipenuhi, misalnya ketentuan Pasal 24 ayat (1) UU Nomor 30 Tahun 2014 menentukan: “Penggunaan diskresi yang berpotensi mengubah alokasi anggaran wajib memperoleh persetujuan dari Atasan Pejabat sesuai dengan ketentuan peraturan perundang-undangan“. Rumusan seperti ini pada akhirnya meletakkan kebijakan mengubah anggaran, sepenuhnya menjadi wewenang pejabat atasannya.</w:t>
      </w:r>
    </w:p>
    <w:p>
      <w:pPr>
        <w:spacing w:after="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b/>
      </w:r>
      <w:r>
        <w:rPr>
          <w:rFonts w:ascii="Times New Roman" w:hAnsi="Times New Roman" w:cs="Times New Roman"/>
          <w:sz w:val="24"/>
          <w:szCs w:val="24"/>
          <w:lang w:val="de-DE"/>
        </w:rPr>
        <w:t xml:space="preserve">Begitu juga terhadap adanya sikap pemberian wewenang pembuatan Undang-Undang kepada pembuat Undang-Undang yang lebih rendah tingkatannya. Hal ini menurut Struyeken van Wijck seperti dikutip oleh Indroharto dinamakan </w:t>
      </w:r>
      <w:r>
        <w:rPr>
          <w:rFonts w:ascii="Times New Roman" w:hAnsi="Times New Roman" w:cs="Times New Roman"/>
          <w:i/>
          <w:sz w:val="24"/>
          <w:szCs w:val="24"/>
          <w:lang w:val="de-DE"/>
        </w:rPr>
        <w:t>terugtred</w:t>
      </w:r>
      <w:r>
        <w:rPr>
          <w:rFonts w:ascii="Times New Roman" w:hAnsi="Times New Roman" w:cs="Times New Roman"/>
          <w:sz w:val="24"/>
          <w:szCs w:val="24"/>
          <w:lang w:val="de-DE"/>
        </w:rPr>
        <w:t xml:space="preserve"> atau, sikap mundur dari pembuat UU“. Dengan sikap </w:t>
      </w:r>
      <w:r>
        <w:rPr>
          <w:rFonts w:ascii="Times New Roman" w:hAnsi="Times New Roman" w:cs="Times New Roman"/>
          <w:i/>
          <w:sz w:val="24"/>
          <w:szCs w:val="24"/>
          <w:lang w:val="de-DE"/>
        </w:rPr>
        <w:t>terugtred</w:t>
      </w:r>
      <w:r>
        <w:rPr>
          <w:rFonts w:ascii="Times New Roman" w:hAnsi="Times New Roman" w:cs="Times New Roman"/>
          <w:sz w:val="24"/>
          <w:szCs w:val="24"/>
          <w:lang w:val="de-DE"/>
        </w:rPr>
        <w:t xml:space="preserve"> seperti ini berarti pemberian wewenang bebas (</w:t>
      </w:r>
      <w:r>
        <w:rPr>
          <w:rFonts w:ascii="Times New Roman" w:hAnsi="Times New Roman" w:cs="Times New Roman"/>
          <w:i/>
          <w:sz w:val="24"/>
          <w:szCs w:val="24"/>
          <w:lang w:val="de-DE"/>
        </w:rPr>
        <w:t>discresioner</w:t>
      </w:r>
      <w:r>
        <w:rPr>
          <w:rFonts w:ascii="Times New Roman" w:hAnsi="Times New Roman" w:cs="Times New Roman"/>
          <w:sz w:val="24"/>
          <w:szCs w:val="24"/>
          <w:lang w:val="de-DE"/>
        </w:rPr>
        <w:t>) kepada badan/pejabat tata usaha negara akan menjadi lebih besar dan luas. Tindakan demikian kecuali mengandung hal positif juga dapat menimbulkan ha-hal negatif. Hal positif antara lain, badan/pejabat tata usaha negara akan lebih bebas dan lebih memiliki diferensiasi untuk menyesuaikan sesuatu sesuai dengan keadaan dan situasi nyata dalam masyarakat, dibandingkan dengan harapan legislatif yang dituangkan dalam Undang-Undang. Sedangkan segi negatif  adanya wewenang bebas  (</w:t>
      </w:r>
      <w:r>
        <w:rPr>
          <w:rFonts w:ascii="Times New Roman" w:hAnsi="Times New Roman" w:cs="Times New Roman"/>
          <w:i/>
          <w:sz w:val="24"/>
          <w:szCs w:val="24"/>
          <w:lang w:val="de-DE"/>
        </w:rPr>
        <w:t>discresioner</w:t>
      </w:r>
      <w:r>
        <w:rPr>
          <w:rFonts w:ascii="Times New Roman" w:hAnsi="Times New Roman" w:cs="Times New Roman"/>
          <w:sz w:val="24"/>
          <w:szCs w:val="24"/>
          <w:lang w:val="de-DE"/>
        </w:rPr>
        <w:t xml:space="preserve">)  dapat mengundang potensi  munculnya tindakan </w:t>
      </w:r>
      <w:r>
        <w:rPr>
          <w:rFonts w:ascii="Times New Roman" w:hAnsi="Times New Roman" w:cs="Times New Roman"/>
          <w:i/>
          <w:sz w:val="24"/>
          <w:szCs w:val="24"/>
          <w:lang w:val="de-DE"/>
        </w:rPr>
        <w:t xml:space="preserve">detournemen de pouvoir </w:t>
      </w:r>
      <w:r>
        <w:rPr>
          <w:rFonts w:ascii="Times New Roman" w:hAnsi="Times New Roman" w:cs="Times New Roman"/>
          <w:sz w:val="24"/>
          <w:szCs w:val="24"/>
          <w:lang w:val="de-DE"/>
        </w:rPr>
        <w:t xml:space="preserve">atau </w:t>
      </w:r>
      <w:r>
        <w:rPr>
          <w:rFonts w:ascii="Times New Roman" w:hAnsi="Times New Roman" w:cs="Times New Roman"/>
          <w:i/>
          <w:sz w:val="24"/>
          <w:szCs w:val="24"/>
          <w:lang w:val="de-DE"/>
        </w:rPr>
        <w:t>willikeur</w:t>
      </w:r>
      <w:r>
        <w:rPr>
          <w:rFonts w:ascii="Times New Roman" w:hAnsi="Times New Roman" w:cs="Times New Roman"/>
          <w:sz w:val="24"/>
          <w:szCs w:val="24"/>
          <w:lang w:val="de-DE"/>
        </w:rPr>
        <w:t xml:space="preserve">/ </w:t>
      </w:r>
      <w:r>
        <w:rPr>
          <w:rFonts w:ascii="Times New Roman" w:hAnsi="Times New Roman" w:cs="Times New Roman"/>
          <w:i/>
          <w:sz w:val="24"/>
          <w:szCs w:val="24"/>
          <w:lang w:val="de-DE"/>
        </w:rPr>
        <w:t>abus de droit</w:t>
      </w:r>
      <w:r>
        <w:rPr>
          <w:rFonts w:ascii="Times New Roman" w:hAnsi="Times New Roman" w:cs="Times New Roman"/>
          <w:sz w:val="24"/>
          <w:szCs w:val="24"/>
          <w:lang w:val="de-DE"/>
        </w:rPr>
        <w:t xml:space="preserve">. </w:t>
      </w:r>
    </w:p>
    <w:p>
      <w:pPr>
        <w:spacing w:after="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b/>
      </w:r>
      <w:r>
        <w:rPr>
          <w:rFonts w:ascii="Times New Roman" w:hAnsi="Times New Roman" w:cs="Times New Roman"/>
          <w:sz w:val="24"/>
          <w:szCs w:val="24"/>
          <w:lang w:val="de-DE"/>
        </w:rPr>
        <w:t>Sebagai contoh dapat dilihat dalam ketentuan Pasal 18 ayat (6) UUD 1945 yang memberikan kewenangan kepada Pemerintah Daerah untuk menerbitkan Perda untuk melaksanakan otonomi daerah. Tentang apa yang dimaksud dengan otonomi daerah di dalam UUD 1945 tidak dijelaskan. Pengertian otonomi daerah hanya ditemukan di dalam Pasal 1 angka 6 UU. No. 23 Tahun 2014 yang mengatakatan, bahwa :</w:t>
      </w:r>
    </w:p>
    <w:p>
      <w:pPr>
        <w:spacing w:after="0" w:line="240" w:lineRule="auto"/>
        <w:ind w:left="709"/>
        <w:jc w:val="both"/>
        <w:rPr>
          <w:rFonts w:ascii="Times New Roman" w:hAnsi="Times New Roman" w:cs="Times New Roman"/>
          <w:sz w:val="24"/>
          <w:szCs w:val="24"/>
          <w:lang w:val="de-DE"/>
        </w:rPr>
      </w:pPr>
      <w:r>
        <w:rPr>
          <w:rFonts w:ascii="Times New Roman" w:hAnsi="Times New Roman" w:cs="Times New Roman"/>
          <w:sz w:val="24"/>
          <w:szCs w:val="24"/>
          <w:lang w:val="de-DE"/>
        </w:rPr>
        <w:t>„Otonomi Daerah adalah hak, wewenang, dan kewajiban daerah otonom untuk mengatur dan mengurus sendiri Urusan Pemerintahan dan Kepentingan masyarakat dalam sistem Negara Kesatuan Republik Indonesia“.</w:t>
      </w:r>
    </w:p>
    <w:p>
      <w:pPr>
        <w:spacing w:after="0" w:line="240" w:lineRule="auto"/>
        <w:ind w:left="709"/>
        <w:jc w:val="both"/>
        <w:rPr>
          <w:rFonts w:ascii="Times New Roman" w:hAnsi="Times New Roman" w:cs="Times New Roman"/>
          <w:sz w:val="24"/>
          <w:szCs w:val="24"/>
          <w:lang w:val="de-DE"/>
        </w:rPr>
      </w:pPr>
    </w:p>
    <w:p>
      <w:pPr>
        <w:spacing w:after="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Berdasarkan pengertian di atas tampak bahwa otonomi yang dimaksud adalah dalam kerangka Negara Kesatuan Republik Indonesia, dan bukan dalam pengertian negara serikat. Hal itu sesuai dengan ketentuan sebagaimana diatur dalam Pasal 1 ayat (1) UUD 1945 yang mengatakan bahwa „Negara Indonesia adalah Negara Kesatuan, yang berbentuk Republik“. Hal ini perlu dipahami agar kita tidak terpengaruh dengan pengertian otonomi dalam negara serikat. Sebab, Indonesia adalah negara kesatuan dan bukan negara serikat.</w:t>
      </w:r>
    </w:p>
    <w:p>
      <w:pPr>
        <w:spacing w:after="0" w:line="360" w:lineRule="auto"/>
        <w:ind w:firstLine="567"/>
        <w:jc w:val="both"/>
        <w:rPr>
          <w:rFonts w:ascii="Times New Roman" w:hAnsi="Times New Roman" w:cs="Times New Roman"/>
          <w:sz w:val="24"/>
          <w:szCs w:val="24"/>
          <w:lang w:val="de-DE"/>
        </w:rPr>
      </w:pPr>
      <w:r>
        <w:rPr>
          <w:rFonts w:ascii="Times New Roman" w:hAnsi="Times New Roman" w:cs="Times New Roman"/>
          <w:sz w:val="24"/>
          <w:szCs w:val="24"/>
          <w:lang w:val="de-DE"/>
        </w:rPr>
        <w:t>Kembali kepada pembahasan sikap mundur (</w:t>
      </w:r>
      <w:r>
        <w:rPr>
          <w:rFonts w:ascii="Times New Roman" w:hAnsi="Times New Roman" w:cs="Times New Roman"/>
          <w:i/>
          <w:sz w:val="24"/>
          <w:szCs w:val="24"/>
          <w:lang w:val="de-DE"/>
        </w:rPr>
        <w:t>terugtred</w:t>
      </w:r>
      <w:r>
        <w:rPr>
          <w:rFonts w:ascii="Times New Roman" w:hAnsi="Times New Roman" w:cs="Times New Roman"/>
          <w:sz w:val="24"/>
          <w:szCs w:val="24"/>
          <w:lang w:val="de-DE"/>
        </w:rPr>
        <w:t>). Persoalannya bagaimana munculnya sikap mundur (</w:t>
      </w:r>
      <w:r>
        <w:rPr>
          <w:rFonts w:ascii="Times New Roman" w:hAnsi="Times New Roman" w:cs="Times New Roman"/>
          <w:i/>
          <w:sz w:val="24"/>
          <w:szCs w:val="24"/>
          <w:lang w:val="de-DE"/>
        </w:rPr>
        <w:t>terugtred</w:t>
      </w:r>
      <w:r>
        <w:rPr>
          <w:rFonts w:ascii="Times New Roman" w:hAnsi="Times New Roman" w:cs="Times New Roman"/>
          <w:sz w:val="24"/>
          <w:szCs w:val="24"/>
          <w:lang w:val="de-DE"/>
        </w:rPr>
        <w:t>) itu dan bagaimana cara mengatasinya: secara sosiologis  menurut Belifante sebagaimana dikutip oleh Indroharto, adalah :</w:t>
      </w:r>
    </w:p>
    <w:p>
      <w:pPr>
        <w:pStyle w:val="10"/>
        <w:numPr>
          <w:ilvl w:val="1"/>
          <w:numId w:val="18"/>
        </w:numPr>
        <w:spacing w:after="0" w:line="240" w:lineRule="auto"/>
        <w:ind w:left="1134" w:hanging="567"/>
        <w:jc w:val="both"/>
        <w:rPr>
          <w:rFonts w:ascii="Times New Roman" w:hAnsi="Times New Roman" w:cs="Times New Roman"/>
          <w:sz w:val="24"/>
          <w:szCs w:val="24"/>
          <w:lang w:val="de-DE"/>
        </w:rPr>
      </w:pPr>
      <w:r>
        <w:rPr>
          <w:rFonts w:ascii="Times New Roman" w:hAnsi="Times New Roman" w:cs="Times New Roman"/>
          <w:sz w:val="24"/>
          <w:szCs w:val="24"/>
          <w:lang w:val="de-DE"/>
        </w:rPr>
        <w:t>Dalam hal bersifat individual, misalnya pengangkatan pegawai negeri, IMB, SIM atau beasiswa.</w:t>
      </w:r>
    </w:p>
    <w:p>
      <w:pPr>
        <w:pStyle w:val="10"/>
        <w:numPr>
          <w:ilvl w:val="1"/>
          <w:numId w:val="18"/>
        </w:numPr>
        <w:spacing w:after="0" w:line="240" w:lineRule="auto"/>
        <w:ind w:left="1134" w:hanging="567"/>
        <w:jc w:val="both"/>
        <w:rPr>
          <w:rFonts w:ascii="Times New Roman" w:hAnsi="Times New Roman" w:cs="Times New Roman"/>
          <w:sz w:val="24"/>
          <w:szCs w:val="24"/>
          <w:lang w:val="de-DE"/>
        </w:rPr>
      </w:pPr>
      <w:r>
        <w:rPr>
          <w:rFonts w:ascii="Times New Roman" w:hAnsi="Times New Roman" w:cs="Times New Roman"/>
          <w:sz w:val="24"/>
          <w:szCs w:val="24"/>
          <w:lang w:val="de-DE"/>
        </w:rPr>
        <w:t>Larangan perintah tidak untuk semua tempat.</w:t>
      </w:r>
    </w:p>
    <w:p>
      <w:pPr>
        <w:pStyle w:val="10"/>
        <w:numPr>
          <w:ilvl w:val="1"/>
          <w:numId w:val="18"/>
        </w:numPr>
        <w:spacing w:after="0" w:line="240" w:lineRule="auto"/>
        <w:ind w:left="1134" w:hanging="567"/>
        <w:jc w:val="both"/>
        <w:rPr>
          <w:rFonts w:ascii="Times New Roman" w:hAnsi="Times New Roman" w:cs="Times New Roman"/>
          <w:sz w:val="24"/>
          <w:szCs w:val="24"/>
          <w:lang w:val="de-DE"/>
        </w:rPr>
      </w:pPr>
      <w:r>
        <w:rPr>
          <w:rFonts w:ascii="Times New Roman" w:hAnsi="Times New Roman" w:cs="Times New Roman"/>
          <w:sz w:val="24"/>
          <w:szCs w:val="24"/>
          <w:lang w:val="de-DE"/>
        </w:rPr>
        <w:t>Karena peraturan dasarnya memberikan wewenang yang besar kepada pemerintah.</w:t>
      </w:r>
    </w:p>
    <w:p>
      <w:pPr>
        <w:pStyle w:val="10"/>
        <w:spacing w:after="0" w:line="240" w:lineRule="auto"/>
        <w:ind w:left="1134"/>
        <w:jc w:val="both"/>
        <w:rPr>
          <w:rFonts w:ascii="Times New Roman" w:hAnsi="Times New Roman" w:cs="Times New Roman"/>
          <w:sz w:val="24"/>
          <w:szCs w:val="24"/>
          <w:lang w:val="de-DE"/>
        </w:rPr>
      </w:pPr>
    </w:p>
    <w:p>
      <w:pPr>
        <w:spacing w:after="0" w:line="360" w:lineRule="auto"/>
        <w:ind w:firstLine="720"/>
        <w:jc w:val="both"/>
        <w:rPr>
          <w:rFonts w:ascii="Times New Roman" w:hAnsi="Times New Roman" w:cs="Times New Roman"/>
          <w:sz w:val="24"/>
          <w:szCs w:val="24"/>
          <w:lang w:val="de-DE"/>
        </w:rPr>
      </w:pPr>
      <w:r>
        <w:rPr>
          <w:rFonts w:ascii="Times New Roman" w:hAnsi="Times New Roman" w:cs="Times New Roman"/>
          <w:sz w:val="24"/>
          <w:szCs w:val="24"/>
          <w:lang w:val="de-DE"/>
        </w:rPr>
        <w:t>Dalam praktek ada suatu wewenang atau kebijaksanaan dari badan/pejabat tata usaha negara dilimpahkan kepada pihak lain yang bukan merupakan badan pemerintahan untuk mengerjakan sesuatu. Hal itu dapat dilihat dalam Undang-Undang Nomor 24 Tahun 2011 tentang Badan Penyelenggara Jaminan Sosial. Berdasarkan UU ini dibentuk Badan Penyelenggara Jaminan Sosial (BPJS) untuk menyelenggarakan program jaminan sosial. Jaminan Sosial adalah salah satu bentuk perlindungan sosial untuk menjamin seluruh rakyat agar dapat memenuhi kebutuhan dasar hidup yang layak.</w:t>
      </w:r>
      <w:r>
        <w:rPr>
          <w:rStyle w:val="6"/>
          <w:rFonts w:ascii="Times New Roman" w:hAnsi="Times New Roman" w:cs="Times New Roman"/>
          <w:sz w:val="24"/>
          <w:szCs w:val="24"/>
          <w:lang w:val="de-DE"/>
        </w:rPr>
        <w:footnoteReference w:id="19"/>
      </w:r>
      <w:r>
        <w:rPr>
          <w:rFonts w:ascii="Times New Roman" w:hAnsi="Times New Roman" w:cs="Times New Roman"/>
          <w:sz w:val="24"/>
          <w:szCs w:val="24"/>
          <w:lang w:val="de-DE"/>
        </w:rPr>
        <w:t xml:space="preserve"> BPJS bertujuan untuk mewujudkan terselenggaranya pemberian jaminan terpenuhinya kebutuhan dasar hidup yang layak bagi setiap peserta dan/atau anggota keluarganya.</w:t>
      </w:r>
      <w:r>
        <w:rPr>
          <w:rStyle w:val="6"/>
          <w:rFonts w:ascii="Times New Roman" w:hAnsi="Times New Roman" w:cs="Times New Roman"/>
          <w:sz w:val="24"/>
          <w:szCs w:val="24"/>
          <w:lang w:val="de-DE"/>
        </w:rPr>
        <w:footnoteReference w:id="20"/>
      </w:r>
      <w:r>
        <w:rPr>
          <w:rFonts w:ascii="Times New Roman" w:hAnsi="Times New Roman" w:cs="Times New Roman"/>
          <w:sz w:val="24"/>
          <w:szCs w:val="24"/>
          <w:lang w:val="de-DE"/>
        </w:rPr>
        <w:t xml:space="preserve"> BPJS memang disebut sebagai badan hukum publik yang bertanggungjawab langsung kepada Presiden. Tetapi, BPJS tidak masuk dalam kementerian negara.</w:t>
      </w:r>
    </w:p>
    <w:p>
      <w:pPr>
        <w:spacing w:after="0" w:line="360" w:lineRule="auto"/>
        <w:ind w:firstLine="720"/>
        <w:jc w:val="both"/>
        <w:rPr>
          <w:rFonts w:ascii="Times New Roman" w:hAnsi="Times New Roman" w:cs="Times New Roman"/>
          <w:sz w:val="24"/>
          <w:szCs w:val="24"/>
          <w:lang w:val="de-DE"/>
        </w:rPr>
      </w:pPr>
      <w:r>
        <w:rPr>
          <w:rFonts w:ascii="Times New Roman" w:hAnsi="Times New Roman" w:cs="Times New Roman"/>
          <w:sz w:val="24"/>
          <w:szCs w:val="24"/>
          <w:lang w:val="de-DE"/>
        </w:rPr>
        <w:t>Tentang pelimpahan wewenang ini, Majelis Hakim Pengadilan Tata Usaha Negara Medan pernah memutuskan dalam putusan Perkara Nomor 04/G/1991/PTUN.MDN. Dalam pertimbangan Hukumnya antara lain menyebutkan bahwa pelimpahan dapat dilakukan asal dipenuhi syarat-syarat tertentu, seperti:</w:t>
      </w:r>
    </w:p>
    <w:p>
      <w:pPr>
        <w:pStyle w:val="10"/>
        <w:numPr>
          <w:ilvl w:val="3"/>
          <w:numId w:val="19"/>
        </w:numPr>
        <w:spacing w:after="0" w:line="360" w:lineRule="auto"/>
        <w:ind w:left="993" w:hanging="284"/>
        <w:jc w:val="both"/>
        <w:rPr>
          <w:rFonts w:ascii="Times New Roman" w:hAnsi="Times New Roman" w:cs="Times New Roman"/>
          <w:sz w:val="24"/>
          <w:szCs w:val="24"/>
          <w:lang w:val="de-DE"/>
        </w:rPr>
      </w:pPr>
      <w:r>
        <w:rPr>
          <w:rFonts w:ascii="Times New Roman" w:hAnsi="Times New Roman" w:cs="Times New Roman"/>
          <w:sz w:val="24"/>
          <w:szCs w:val="24"/>
          <w:lang w:val="de-DE"/>
        </w:rPr>
        <w:t>Bahwa wewenang/kebijaksaan yang dilimpahkan itu menurut ketentuan peraturan perundang-undangan adalah wewenang si Pejabat yang dilimpahkan itu;</w:t>
      </w:r>
    </w:p>
    <w:p>
      <w:pPr>
        <w:pStyle w:val="10"/>
        <w:numPr>
          <w:ilvl w:val="3"/>
          <w:numId w:val="19"/>
        </w:numPr>
        <w:spacing w:after="0" w:line="360" w:lineRule="auto"/>
        <w:ind w:left="993" w:hanging="284"/>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Bahwa perundang-undangan yang mengatur wewenang/kebijaksanaan itu, bukan peraturan-peraturan yang bersifat </w:t>
      </w:r>
      <w:r>
        <w:rPr>
          <w:rFonts w:ascii="Times New Roman" w:hAnsi="Times New Roman" w:cs="Times New Roman"/>
          <w:i/>
          <w:sz w:val="24"/>
          <w:szCs w:val="24"/>
          <w:lang w:val="de-DE"/>
        </w:rPr>
        <w:t>Gebonden bestuur</w:t>
      </w:r>
      <w:r>
        <w:rPr>
          <w:rFonts w:ascii="Times New Roman" w:hAnsi="Times New Roman" w:cs="Times New Roman"/>
          <w:sz w:val="24"/>
          <w:szCs w:val="24"/>
          <w:lang w:val="de-DE"/>
        </w:rPr>
        <w:t>;</w:t>
      </w:r>
    </w:p>
    <w:p>
      <w:pPr>
        <w:pStyle w:val="10"/>
        <w:numPr>
          <w:ilvl w:val="3"/>
          <w:numId w:val="19"/>
        </w:numPr>
        <w:spacing w:after="0" w:line="360" w:lineRule="auto"/>
        <w:ind w:left="993" w:hanging="284"/>
        <w:jc w:val="both"/>
        <w:rPr>
          <w:rFonts w:ascii="Times New Roman" w:hAnsi="Times New Roman" w:cs="Times New Roman"/>
          <w:sz w:val="24"/>
          <w:szCs w:val="24"/>
          <w:lang w:val="de-DE"/>
        </w:rPr>
      </w:pPr>
      <w:r>
        <w:rPr>
          <w:rFonts w:ascii="Times New Roman" w:hAnsi="Times New Roman" w:cs="Times New Roman"/>
          <w:sz w:val="24"/>
          <w:szCs w:val="24"/>
          <w:lang w:val="de-DE"/>
        </w:rPr>
        <w:t>Bahwa pelimpahan itu adalah merupakan jalan terbaik untuk mencapai manfaat yang optimal bagi kepentingan umum;</w:t>
      </w:r>
    </w:p>
    <w:p>
      <w:pPr>
        <w:pStyle w:val="10"/>
        <w:numPr>
          <w:ilvl w:val="3"/>
          <w:numId w:val="19"/>
        </w:numPr>
        <w:spacing w:after="0" w:line="360" w:lineRule="auto"/>
        <w:ind w:left="993" w:hanging="284"/>
        <w:jc w:val="both"/>
        <w:rPr>
          <w:rFonts w:ascii="Times New Roman" w:hAnsi="Times New Roman" w:cs="Times New Roman"/>
          <w:sz w:val="24"/>
          <w:szCs w:val="24"/>
          <w:lang w:val="de-DE"/>
        </w:rPr>
      </w:pPr>
      <w:r>
        <w:rPr>
          <w:rFonts w:ascii="Times New Roman" w:hAnsi="Times New Roman" w:cs="Times New Roman"/>
          <w:sz w:val="24"/>
          <w:szCs w:val="24"/>
          <w:lang w:val="de-DE"/>
        </w:rPr>
        <w:t>Bahwa pelimpahan itu tidak bertentangan dengan kepentingan umum, maupun jaminan-jaminan perlindungan hukum bagi pencari keadilan;</w:t>
      </w:r>
    </w:p>
    <w:p>
      <w:pPr>
        <w:pStyle w:val="10"/>
        <w:numPr>
          <w:ilvl w:val="3"/>
          <w:numId w:val="19"/>
        </w:numPr>
        <w:spacing w:after="0" w:line="360" w:lineRule="auto"/>
        <w:ind w:left="993" w:hanging="284"/>
        <w:jc w:val="both"/>
        <w:rPr>
          <w:rFonts w:ascii="Times New Roman" w:hAnsi="Times New Roman" w:cs="Times New Roman"/>
          <w:sz w:val="24"/>
          <w:szCs w:val="24"/>
          <w:lang w:val="de-DE"/>
        </w:rPr>
      </w:pPr>
      <w:r>
        <w:rPr>
          <w:rFonts w:ascii="Times New Roman" w:hAnsi="Times New Roman" w:cs="Times New Roman"/>
          <w:sz w:val="24"/>
          <w:szCs w:val="24"/>
          <w:lang w:val="de-DE"/>
        </w:rPr>
        <w:t>Bahwa sarana dalam Hukum Publik untuk maksud itu belum cukup tersedia.</w:t>
      </w:r>
    </w:p>
    <w:p>
      <w:pPr>
        <w:spacing w:after="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Rumusan pertimbangan hukum Majelis Hakim tersebut di atas, tetap memuat batasan tolok ukur hukum bagi kemungkinan pengujiannya dari segi </w:t>
      </w:r>
      <w:r>
        <w:rPr>
          <w:rFonts w:ascii="Times New Roman" w:hAnsi="Times New Roman" w:cs="Times New Roman"/>
          <w:i/>
          <w:sz w:val="24"/>
          <w:szCs w:val="24"/>
          <w:lang w:val="de-DE"/>
        </w:rPr>
        <w:t>rechtmtatigheid</w:t>
      </w:r>
      <w:r>
        <w:rPr>
          <w:rFonts w:ascii="Times New Roman" w:hAnsi="Times New Roman" w:cs="Times New Roman"/>
          <w:sz w:val="24"/>
          <w:szCs w:val="24"/>
          <w:lang w:val="de-DE"/>
        </w:rPr>
        <w:t xml:space="preserve">. Kecuali itu juga memuat ukuran batasan dari segi </w:t>
      </w:r>
      <w:r>
        <w:rPr>
          <w:rFonts w:ascii="Times New Roman" w:hAnsi="Times New Roman" w:cs="Times New Roman"/>
          <w:i/>
          <w:sz w:val="24"/>
          <w:szCs w:val="24"/>
          <w:lang w:val="de-DE"/>
        </w:rPr>
        <w:t>doelmatigheid</w:t>
      </w:r>
      <w:r>
        <w:rPr>
          <w:rFonts w:ascii="Times New Roman" w:hAnsi="Times New Roman" w:cs="Times New Roman"/>
          <w:sz w:val="24"/>
          <w:szCs w:val="24"/>
          <w:lang w:val="de-DE"/>
        </w:rPr>
        <w:t>-nya, yakni berupa manfaat dan kepentingan umum serta belum tersedianya sarana hukum publik yang mengaturnya.</w:t>
      </w:r>
    </w:p>
    <w:p>
      <w:pPr>
        <w:spacing w:after="0" w:line="360" w:lineRule="auto"/>
        <w:jc w:val="both"/>
        <w:rPr>
          <w:rFonts w:ascii="Times New Roman" w:hAnsi="Times New Roman" w:cs="Times New Roman"/>
          <w:sz w:val="24"/>
          <w:szCs w:val="24"/>
          <w:lang w:val="de-DE"/>
        </w:rPr>
      </w:pPr>
    </w:p>
    <w:p>
      <w:pPr>
        <w:numPr>
          <w:ilvl w:val="0"/>
          <w:numId w:val="17"/>
        </w:numPr>
        <w:spacing w:after="0" w:line="360" w:lineRule="auto"/>
        <w:ind w:left="845" w:leftChars="0" w:hanging="425" w:firstLineChars="0"/>
        <w:jc w:val="both"/>
        <w:rPr>
          <w:rFonts w:ascii="Times New Roman" w:hAnsi="Times New Roman" w:cs="Times New Roman"/>
          <w:b/>
          <w:sz w:val="24"/>
          <w:szCs w:val="24"/>
          <w:lang w:val="de-DE"/>
        </w:rPr>
      </w:pPr>
      <w:r>
        <w:rPr>
          <w:rFonts w:ascii="Times New Roman" w:hAnsi="Times New Roman" w:cs="Times New Roman"/>
          <w:b/>
          <w:sz w:val="24"/>
          <w:szCs w:val="24"/>
          <w:lang w:val="de-DE"/>
        </w:rPr>
        <w:t>Sumber Kewenangan</w:t>
      </w:r>
    </w:p>
    <w:p>
      <w:pPr>
        <w:pStyle w:val="2"/>
        <w:spacing w:after="0" w:line="360" w:lineRule="auto"/>
        <w:ind w:firstLine="720"/>
        <w:jc w:val="both"/>
        <w:rPr>
          <w:rFonts w:ascii="Times New Roman" w:hAnsi="Times New Roman"/>
          <w:sz w:val="24"/>
          <w:szCs w:val="24"/>
        </w:rPr>
      </w:pPr>
      <w:r>
        <w:rPr>
          <w:rFonts w:ascii="Times New Roman" w:hAnsi="Times New Roman"/>
          <w:sz w:val="24"/>
          <w:szCs w:val="24"/>
        </w:rPr>
        <w:t xml:space="preserve">Secara konstitusional, landasan hukum bertindak pejabat publik di Indonesia adalah UUD 1945 berikut peraturan pelaksanaannya. Hal tersebut disebut sebagai asas legalitas yang merupakan unsur universal konsep negara hukum. </w:t>
      </w:r>
      <w:r>
        <w:rPr>
          <w:rFonts w:ascii="Times New Roman" w:hAnsi="Times New Roman"/>
          <w:sz w:val="24"/>
          <w:szCs w:val="24"/>
          <w:lang w:val="fi-FI"/>
        </w:rPr>
        <w:t>Sjachran Basah mengatakan bahwa kekuasaan negara Indonesia bersumber kepada duet integral secara harmonis antara paham kedaulatan hukum dan paham kedaulatan rakyat berdasarkan prinsip monodualistik selaku pilar-pilar yang sifat hakikatnya konstitutif.</w:t>
      </w:r>
      <w:r>
        <w:rPr>
          <w:rStyle w:val="6"/>
          <w:rFonts w:ascii="Times New Roman" w:hAnsi="Times New Roman"/>
          <w:sz w:val="24"/>
          <w:szCs w:val="24"/>
          <w:lang w:val="fi-FI"/>
        </w:rPr>
        <w:footnoteReference w:id="21"/>
      </w:r>
      <w:r>
        <w:rPr>
          <w:rFonts w:ascii="Times New Roman" w:hAnsi="Times New Roman"/>
          <w:sz w:val="24"/>
          <w:szCs w:val="24"/>
          <w:lang w:val="fi-FI"/>
        </w:rPr>
        <w:t xml:space="preserve"> Lebih lanjut </w:t>
      </w:r>
      <w:r>
        <w:rPr>
          <w:rFonts w:ascii="Times New Roman" w:hAnsi="Times New Roman"/>
          <w:sz w:val="24"/>
          <w:szCs w:val="24"/>
        </w:rPr>
        <w:t>Sjachran Basah mengatakan, bahwa :</w:t>
      </w:r>
    </w:p>
    <w:p>
      <w:pPr>
        <w:pStyle w:val="2"/>
        <w:spacing w:line="240" w:lineRule="auto"/>
        <w:ind w:left="851"/>
        <w:jc w:val="both"/>
        <w:rPr>
          <w:rFonts w:ascii="Times New Roman" w:hAnsi="Times New Roman"/>
          <w:sz w:val="24"/>
          <w:szCs w:val="24"/>
        </w:rPr>
      </w:pPr>
      <w:r>
        <w:rPr>
          <w:rFonts w:ascii="Times New Roman" w:hAnsi="Times New Roman"/>
          <w:sz w:val="24"/>
          <w:szCs w:val="24"/>
        </w:rPr>
        <w:t xml:space="preserve"> “Secara konstitusional eksistensi negara hukum </w:t>
      </w:r>
      <w:r>
        <w:rPr>
          <w:rFonts w:ascii="Times New Roman" w:hAnsi="Times New Roman"/>
          <w:i/>
          <w:sz w:val="24"/>
          <w:szCs w:val="24"/>
        </w:rPr>
        <w:t>a quo</w:t>
      </w:r>
      <w:r>
        <w:rPr>
          <w:rFonts w:ascii="Times New Roman" w:hAnsi="Times New Roman"/>
          <w:sz w:val="24"/>
          <w:szCs w:val="24"/>
        </w:rPr>
        <w:t>, tidak mungkin dipungkiri oleh siapa pun karena di dalamnya mengandung jaminan terhadap tiga hal yang kemudian direkayasa lebih lanjut melalui proses normativisasi dalam ketentuan perundang-undamgan yang tingkat derajatnya lebih rendah. Ketiga hal ini merupakan “trio” yang tak terpisahkan dalam hubungan korelatif-fungsional antara administrasi negara, yakni alat perlengkapan negara (tingkat Pusat dan Daerah), yang menjalankan seluruh kegiatan bernegara dalam menyelenggarakan pemerintahan, dengan warga yang masing-masing memiliki hak, kewenangan, dan kewajiban.”</w:t>
      </w:r>
      <w:r>
        <w:rPr>
          <w:rStyle w:val="6"/>
          <w:rFonts w:ascii="Times New Roman" w:hAnsi="Times New Roman"/>
          <w:sz w:val="24"/>
          <w:szCs w:val="24"/>
        </w:rPr>
        <w:footnoteReference w:id="22"/>
      </w:r>
    </w:p>
    <w:p>
      <w:pPr>
        <w:pStyle w:val="2"/>
        <w:spacing w:after="0" w:line="360" w:lineRule="auto"/>
        <w:ind w:firstLine="630"/>
        <w:jc w:val="both"/>
        <w:rPr>
          <w:rFonts w:ascii="Times New Roman" w:hAnsi="Times New Roman"/>
          <w:sz w:val="24"/>
          <w:szCs w:val="24"/>
          <w:lang w:val="fi-FI"/>
        </w:rPr>
      </w:pPr>
      <w:r>
        <w:rPr>
          <w:rFonts w:ascii="Times New Roman" w:hAnsi="Times New Roman"/>
          <w:sz w:val="24"/>
          <w:szCs w:val="24"/>
        </w:rPr>
        <w:t xml:space="preserve">Di pihak lain, </w:t>
      </w:r>
      <w:r>
        <w:rPr>
          <w:rFonts w:ascii="Times New Roman" w:hAnsi="Times New Roman"/>
          <w:sz w:val="24"/>
          <w:szCs w:val="24"/>
          <w:lang w:val="fi-FI"/>
        </w:rPr>
        <w:t>Usep Ranawijaya mengatakan bahwa kekuasaan tertinggi bagi bangsa Indonesia bersumber kepada kedaulatan rakyat.</w:t>
      </w:r>
      <w:r>
        <w:rPr>
          <w:rStyle w:val="6"/>
          <w:rFonts w:ascii="Times New Roman" w:hAnsi="Times New Roman"/>
          <w:sz w:val="24"/>
          <w:szCs w:val="24"/>
          <w:lang w:val="fi-FI"/>
        </w:rPr>
        <w:footnoteReference w:id="23"/>
      </w:r>
      <w:r>
        <w:rPr>
          <w:rFonts w:ascii="Times New Roman" w:hAnsi="Times New Roman"/>
          <w:sz w:val="24"/>
          <w:szCs w:val="24"/>
          <w:lang w:val="fi-FI"/>
        </w:rPr>
        <w:t xml:space="preserve"> Hal itu sesuai dengan ketentuan Pasal 1 ayat (2) UUD 1945 yang mengatakan bahwa : ”Kedaulatan berada ditangan rakyat dan dilaksanakan menurut Undang-Unndang Dasar”. Berdasarkan ketentuan ini sumber kewenagan itu adalah kedaulatan. Usep Ranawijaya lebih lanjut mengatakan bahwa istilah kedaulatan yang menunjukkan pada kemerdekaan penuh suatu negara yang memiliki wibawa tertinggi ke dalam dan ke luar, dan oleh karenanya negara berkedudukan sebagai pencipta tertinggi tata hukum bagi masyarakatnya.</w:t>
      </w:r>
      <w:r>
        <w:rPr>
          <w:rStyle w:val="6"/>
          <w:rFonts w:ascii="Times New Roman" w:hAnsi="Times New Roman"/>
          <w:sz w:val="24"/>
          <w:szCs w:val="24"/>
          <w:lang w:val="fi-FI"/>
        </w:rPr>
        <w:footnoteReference w:id="24"/>
      </w:r>
      <w:r>
        <w:rPr>
          <w:rFonts w:ascii="Times New Roman" w:hAnsi="Times New Roman"/>
          <w:sz w:val="24"/>
          <w:szCs w:val="24"/>
          <w:lang w:val="fi-FI"/>
        </w:rPr>
        <w:t xml:space="preserve"> Berdasarkan pendapat ini Irfan Fahruddin kemudian mengatakan, bahwa : (1) Kedaulatan rakyat, pelaksanaan kekuasaan negara didasarkan kepada pemberian kuasa oleh rakyat sebagaimana termuat dalam Pasal 1 ayat (2) UUD 1945; 2. Kedaulatan hukum, hukum menjadi dasar dari kekuasaan negara yang bersumber dari kesadaran masyarakat sebagaimana dinyatakan dalam Memori Penjelasan UUD 1945, dan setelah amandemen ketiga dinyatakan dalam Pasal 1 ayat (3). 3. Kedaulatan negara, negara sebagai sumber kekuasaan sendiri, karena negara adalah bentuk tertinggi kesatuan hidup. Bersumber dari wewenang tersebut negara dapat mengatur kehidupannya dengan konstitusi sebagai pijakan dan tolok ukur normatif pengaturan lebih lanjut.</w:t>
      </w:r>
      <w:r>
        <w:rPr>
          <w:rStyle w:val="6"/>
          <w:rFonts w:ascii="Times New Roman" w:hAnsi="Times New Roman"/>
          <w:sz w:val="24"/>
          <w:szCs w:val="24"/>
          <w:lang w:val="fi-FI"/>
        </w:rPr>
        <w:footnoteReference w:id="25"/>
      </w:r>
    </w:p>
    <w:p>
      <w:pPr>
        <w:pStyle w:val="2"/>
        <w:spacing w:after="0" w:line="360" w:lineRule="auto"/>
        <w:ind w:firstLine="630"/>
        <w:jc w:val="both"/>
        <w:rPr>
          <w:rFonts w:ascii="Times New Roman" w:hAnsi="Times New Roman"/>
          <w:sz w:val="24"/>
          <w:szCs w:val="24"/>
        </w:rPr>
      </w:pPr>
      <w:r>
        <w:rPr>
          <w:rFonts w:ascii="Times New Roman" w:hAnsi="Times New Roman"/>
          <w:sz w:val="24"/>
          <w:szCs w:val="24"/>
        </w:rPr>
        <w:t xml:space="preserve">Berdasarkan beberapa pendapat di atas tampak bahwa kekuasaan dalam negara didasarkan pada kedaulatan hukum dan kedaulatan rakyat. </w:t>
      </w:r>
      <w:r>
        <w:rPr>
          <w:rFonts w:ascii="Times New Roman" w:hAnsi="Times New Roman"/>
          <w:sz w:val="24"/>
          <w:szCs w:val="24"/>
          <w:lang w:val="fi-FI"/>
        </w:rPr>
        <w:t>Itulah yang dikatakan oleh Sjachran Basah sebagai duet integral. Sebagai duet integral, keduanya tidak bisa dipisahkan, dan hal itu menjadi sumber kewenangan pemerintah dalam negara, yang hal tersebut dituangkan dalam konstitusi (UUD) .</w:t>
      </w:r>
      <w:r>
        <w:rPr>
          <w:rFonts w:ascii="Times New Roman" w:hAnsi="Times New Roman"/>
          <w:sz w:val="24"/>
          <w:szCs w:val="24"/>
        </w:rPr>
        <w:t xml:space="preserve"> Pendapat ini juga sesuai dengan apa yang dikatakan oleh H.D. van Wijk, bahwa : </w:t>
      </w:r>
    </w:p>
    <w:p>
      <w:pPr>
        <w:pStyle w:val="2"/>
        <w:spacing w:line="240" w:lineRule="auto"/>
        <w:ind w:left="720"/>
        <w:jc w:val="both"/>
        <w:rPr>
          <w:rFonts w:ascii="Times New Roman" w:hAnsi="Times New Roman"/>
          <w:i/>
          <w:sz w:val="24"/>
          <w:szCs w:val="24"/>
        </w:rPr>
      </w:pPr>
      <w:r>
        <w:rPr>
          <w:rFonts w:ascii="Times New Roman" w:hAnsi="Times New Roman"/>
          <w:i/>
          <w:sz w:val="24"/>
          <w:szCs w:val="24"/>
        </w:rPr>
        <w:t>“Wetmatigheid van bestuur : de uitvoerende macht bezit uitsluitend die bevoegdheden welke haar uitdrukkelijk door de Grondwet of door een andere wet zijn toegekend”.</w:t>
      </w:r>
      <w:r>
        <w:rPr>
          <w:rStyle w:val="6"/>
          <w:rFonts w:ascii="Times New Roman" w:hAnsi="Times New Roman"/>
          <w:i/>
          <w:sz w:val="24"/>
          <w:szCs w:val="24"/>
        </w:rPr>
        <w:footnoteReference w:id="26"/>
      </w:r>
    </w:p>
    <w:p>
      <w:pPr>
        <w:pStyle w:val="2"/>
        <w:spacing w:line="240" w:lineRule="auto"/>
        <w:ind w:left="720"/>
        <w:jc w:val="both"/>
        <w:rPr>
          <w:rFonts w:ascii="Times New Roman" w:hAnsi="Times New Roman"/>
          <w:sz w:val="24"/>
          <w:szCs w:val="24"/>
        </w:rPr>
      </w:pPr>
      <w:r>
        <w:rPr>
          <w:rFonts w:ascii="Times New Roman" w:hAnsi="Times New Roman"/>
          <w:sz w:val="24"/>
          <w:szCs w:val="24"/>
        </w:rPr>
        <w:t>(Pemerintah menurut undang-undang : pemerintah mendapatkan kekuasaan yang diberikan kepadanya oleh Undang-Undang atau Undang-Undang Dasar).</w:t>
      </w:r>
    </w:p>
    <w:p>
      <w:pPr>
        <w:pStyle w:val="2"/>
        <w:spacing w:after="0" w:line="360" w:lineRule="auto"/>
        <w:jc w:val="both"/>
        <w:rPr>
          <w:rFonts w:ascii="Times New Roman" w:hAnsi="Times New Roman"/>
          <w:sz w:val="24"/>
          <w:szCs w:val="24"/>
        </w:rPr>
      </w:pPr>
      <w:r>
        <w:rPr>
          <w:rFonts w:ascii="Times New Roman" w:hAnsi="Times New Roman"/>
          <w:sz w:val="24"/>
          <w:szCs w:val="24"/>
        </w:rPr>
        <w:t>Berdasarkan pengertian di atas, Undang-Undang Dasar dan Undang-Undang menjadi dasar bagi pemerintah dalam menjalankan aktivitasnya. Dengan asas ini kewenangan pemerintah sudah ditentukan dalam Undang-Undang, sehingga memudahkan baginya dalam bertindak.</w:t>
      </w:r>
    </w:p>
    <w:p>
      <w:pPr>
        <w:pStyle w:val="2"/>
        <w:spacing w:after="0" w:line="360" w:lineRule="auto"/>
        <w:ind w:firstLine="720"/>
        <w:jc w:val="both"/>
        <w:rPr>
          <w:rFonts w:ascii="Times New Roman" w:hAnsi="Times New Roman"/>
          <w:sz w:val="24"/>
          <w:szCs w:val="24"/>
        </w:rPr>
      </w:pPr>
      <w:r>
        <w:rPr>
          <w:rFonts w:ascii="Times New Roman" w:hAnsi="Times New Roman"/>
          <w:sz w:val="24"/>
          <w:szCs w:val="24"/>
        </w:rPr>
        <w:t xml:space="preserve">Secara teoritis kewenangan pemerintah dapat bersumber dari “atribusi”, “delegasi”, dan “mandat”. </w:t>
      </w:r>
      <w:r>
        <w:rPr>
          <w:rFonts w:ascii="Times New Roman" w:hAnsi="Times New Roman"/>
          <w:sz w:val="24"/>
          <w:szCs w:val="24"/>
          <w:lang w:val="de-DE"/>
        </w:rPr>
        <w:t xml:space="preserve">Ketiganya merupakan sumber hukum yang sangat penting bagi suatu negara hukum demokratis, di mana setiap tindakan pemerintah harus berdasarkan atas hukum. </w:t>
      </w:r>
      <w:r>
        <w:rPr>
          <w:rFonts w:ascii="Times New Roman" w:hAnsi="Times New Roman"/>
          <w:sz w:val="24"/>
          <w:szCs w:val="24"/>
        </w:rPr>
        <w:t xml:space="preserve">Hal tersebut sesuai dengan yang disebut dalam Pasal 11 UU. No. 30 Tahun 2014 yang mengatakan, bahwa “Kewenangan diperoleh melalui Atribusi, Delegasi, dan/atau Mandat. </w:t>
      </w:r>
    </w:p>
    <w:p>
      <w:pPr>
        <w:pStyle w:val="2"/>
        <w:spacing w:after="0" w:line="360" w:lineRule="auto"/>
        <w:ind w:firstLine="720"/>
        <w:jc w:val="both"/>
        <w:rPr>
          <w:rFonts w:ascii="Times New Roman" w:hAnsi="Times New Roman"/>
          <w:sz w:val="24"/>
          <w:szCs w:val="24"/>
        </w:rPr>
      </w:pPr>
      <w:r>
        <w:rPr>
          <w:rFonts w:ascii="Times New Roman" w:hAnsi="Times New Roman"/>
          <w:sz w:val="24"/>
          <w:szCs w:val="24"/>
        </w:rPr>
        <w:t>Bertalian dengan atribusi, di d</w:t>
      </w:r>
      <w:r>
        <w:rPr>
          <w:rFonts w:ascii="Times New Roman" w:hAnsi="Times New Roman"/>
          <w:sz w:val="24"/>
          <w:szCs w:val="24"/>
          <w:lang w:val="de-DE"/>
        </w:rPr>
        <w:t xml:space="preserve">alam Pasal 12 UU. No. 30 Tahun 2014 disebutkan, bahwa : </w:t>
      </w:r>
    </w:p>
    <w:p>
      <w:pPr>
        <w:pStyle w:val="10"/>
        <w:numPr>
          <w:ilvl w:val="0"/>
          <w:numId w:val="20"/>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memperoleh wewenang melalui Atribusi apabila:</w:t>
      </w:r>
    </w:p>
    <w:p>
      <w:pPr>
        <w:pStyle w:val="10"/>
        <w:numPr>
          <w:ilvl w:val="0"/>
          <w:numId w:val="21"/>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Diatur dalam Undang-Undang Dasar Negara Republik Indonesia Tahun 1945 dan/atau undang-undang;</w:t>
      </w:r>
    </w:p>
    <w:p>
      <w:pPr>
        <w:pStyle w:val="10"/>
        <w:numPr>
          <w:ilvl w:val="0"/>
          <w:numId w:val="21"/>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Merupakan Wewenang baru atau sebelumnya tidak ada; dan Atribusi diberikan kepada Badan dan/atau Pejabat Pemerintahan.</w:t>
      </w:r>
    </w:p>
    <w:p>
      <w:pPr>
        <w:pStyle w:val="10"/>
        <w:numPr>
          <w:ilvl w:val="0"/>
          <w:numId w:val="20"/>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yang memperoleh wewenang melalui atribusi, tanggung jawab kewenangan berada pada badan dan/atau Pejabat Pemerintahan yang bersangkutan.</w:t>
      </w:r>
    </w:p>
    <w:p>
      <w:pPr>
        <w:pStyle w:val="10"/>
        <w:numPr>
          <w:ilvl w:val="0"/>
          <w:numId w:val="20"/>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Kewenanagan atribusi tidak dapat didelegasikan, kecuali diatur di dalam  Undang-Undang Dasar  Negara Republik Indonesia Tahun 1945 dan/atau Undang-Undang.</w:t>
      </w:r>
    </w:p>
    <w:p>
      <w:pPr>
        <w:spacing w:after="0" w:line="480" w:lineRule="auto"/>
        <w:ind w:left="360"/>
        <w:rPr>
          <w:rFonts w:ascii="Times New Roman" w:hAnsi="Times New Roman" w:cs="Times New Roman"/>
          <w:sz w:val="24"/>
          <w:szCs w:val="24"/>
          <w:lang w:val="de-DE"/>
        </w:rPr>
      </w:pPr>
      <w:r>
        <w:rPr>
          <w:rFonts w:ascii="Times New Roman" w:hAnsi="Times New Roman" w:cs="Times New Roman"/>
          <w:sz w:val="24"/>
          <w:szCs w:val="24"/>
          <w:lang w:val="de-DE"/>
        </w:rPr>
        <w:t>Pengaturan tentang delegasi, di dalam Pasal 13 disebutkan, bahwa :</w:t>
      </w:r>
    </w:p>
    <w:p>
      <w:pPr>
        <w:pStyle w:val="10"/>
        <w:numPr>
          <w:ilvl w:val="0"/>
          <w:numId w:val="22"/>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Pendelegasian kewenangan ditetapkan berdasarkan ketentuan peraturan perundang-undangan.</w:t>
      </w:r>
    </w:p>
    <w:p>
      <w:pPr>
        <w:pStyle w:val="10"/>
        <w:numPr>
          <w:ilvl w:val="0"/>
          <w:numId w:val="22"/>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memperoleh wewenang melalui delegasi apabila:</w:t>
      </w:r>
    </w:p>
    <w:p>
      <w:pPr>
        <w:pStyle w:val="10"/>
        <w:numPr>
          <w:ilvl w:val="0"/>
          <w:numId w:val="23"/>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Diberikan oleh Badan/Pejabat Pemerintahan kepada Badan dan/atau Pejabat Pemerintahan Lainnya;</w:t>
      </w:r>
    </w:p>
    <w:p>
      <w:pPr>
        <w:pStyle w:val="10"/>
        <w:numPr>
          <w:ilvl w:val="0"/>
          <w:numId w:val="23"/>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Ditetapkan dalam Peraturan Pemerintah, Peraturan Presiden, dan/atau Peraturan Daerah; dan</w:t>
      </w:r>
    </w:p>
    <w:p>
      <w:pPr>
        <w:pStyle w:val="10"/>
        <w:numPr>
          <w:ilvl w:val="0"/>
          <w:numId w:val="23"/>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Merupakan wewenang pelimpahan atau sebelumnya telah ada.</w:t>
      </w:r>
    </w:p>
    <w:p>
      <w:pPr>
        <w:pStyle w:val="10"/>
        <w:numPr>
          <w:ilvl w:val="0"/>
          <w:numId w:val="22"/>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Kewenangan yang didelegasikan kepada Badan dan/atau Pejabat Pemerintahan tidak dapat didelegasikan lebih lanjut, kecuali ditentukan dalam peraturan perundang-undangan.</w:t>
      </w:r>
    </w:p>
    <w:p>
      <w:pPr>
        <w:pStyle w:val="10"/>
        <w:numPr>
          <w:ilvl w:val="0"/>
          <w:numId w:val="22"/>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Dalam hal ketentuan peraturan perundang-undangan menentukan lain sebagaimana dimaksud pada ayat (3), badan dan/atau Pejabat Pemerintahan yang memperoleh wewenang melalui delegasi sebagaimana dimaksud pada ayat (2) dan mensubdelegasikan tindakan kepada badan dan/atau Pejabat Pemerintahan lain dengan ketentuan:</w:t>
      </w:r>
    </w:p>
    <w:p>
      <w:pPr>
        <w:pStyle w:val="10"/>
        <w:numPr>
          <w:ilvl w:val="0"/>
          <w:numId w:val="24"/>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Dituangkan dalam bentuk peraturan sebelum wewenang dilaksanakan;</w:t>
      </w:r>
    </w:p>
    <w:p>
      <w:pPr>
        <w:pStyle w:val="10"/>
        <w:numPr>
          <w:ilvl w:val="0"/>
          <w:numId w:val="24"/>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 xml:space="preserve">Dilakukan dalam lingkungan pemerintahan sendiri; dan </w:t>
      </w:r>
    </w:p>
    <w:p>
      <w:pPr>
        <w:pStyle w:val="10"/>
        <w:numPr>
          <w:ilvl w:val="0"/>
          <w:numId w:val="24"/>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Paling banyak diberikan kepada Badan dan/atau Pejabat Pemerintahan 1 (satu) tingkat di bawahnya.</w:t>
      </w:r>
    </w:p>
    <w:p>
      <w:pPr>
        <w:pStyle w:val="10"/>
        <w:numPr>
          <w:ilvl w:val="0"/>
          <w:numId w:val="22"/>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yang memberikan delegasi dapat menggunakan sendiri wewenang yang telah diberikan melalui delegasi, kecuali ditentukan lain dalam ketentuan peraturan perundang-undangan.</w:t>
      </w:r>
    </w:p>
    <w:p>
      <w:pPr>
        <w:pStyle w:val="10"/>
        <w:numPr>
          <w:ilvl w:val="0"/>
          <w:numId w:val="22"/>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Dalam hal pelaksanaan wewenang berdasarkan delegasi menimbulkan ketidakefektifan penyelenggaraan pemerintahan, Badan dan/atau Pejabat Pemerintahan yang memberikan pendelegasian kewenangan dapat menarik kembali wewenang yang telah didelegasikan.</w:t>
      </w:r>
    </w:p>
    <w:p>
      <w:pPr>
        <w:pStyle w:val="10"/>
        <w:numPr>
          <w:ilvl w:val="0"/>
          <w:numId w:val="22"/>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yang memperoleh wewenang melalui delegasi, tanggung jawab kewenangan berada pada penerima delegasi.</w:t>
      </w:r>
    </w:p>
    <w:p>
      <w:pPr>
        <w:spacing w:after="0" w:line="480" w:lineRule="auto"/>
        <w:rPr>
          <w:rFonts w:ascii="Times New Roman" w:hAnsi="Times New Roman" w:cs="Times New Roman"/>
          <w:sz w:val="24"/>
          <w:szCs w:val="24"/>
          <w:lang w:val="de-DE"/>
        </w:rPr>
      </w:pPr>
      <w:r>
        <w:rPr>
          <w:rFonts w:ascii="Times New Roman" w:hAnsi="Times New Roman" w:cs="Times New Roman"/>
          <w:sz w:val="24"/>
          <w:szCs w:val="24"/>
          <w:lang w:val="de-DE"/>
        </w:rPr>
        <w:t>Terkait dengan mandat, di dalam Pasal 14 dikatakan, bahwa :</w:t>
      </w:r>
    </w:p>
    <w:p>
      <w:pPr>
        <w:pStyle w:val="10"/>
        <w:numPr>
          <w:ilvl w:val="0"/>
          <w:numId w:val="25"/>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memperoleh mandat apabila:</w:t>
      </w:r>
    </w:p>
    <w:p>
      <w:pPr>
        <w:pStyle w:val="10"/>
        <w:numPr>
          <w:ilvl w:val="0"/>
          <w:numId w:val="26"/>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Ditugaskan oleh Badan dan/atau Pejabat Pemerintahan di atasnya; dan</w:t>
      </w:r>
    </w:p>
    <w:p>
      <w:pPr>
        <w:pStyle w:val="10"/>
        <w:numPr>
          <w:ilvl w:val="0"/>
          <w:numId w:val="26"/>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Merupakan pelaksanaan tugas rutin.</w:t>
      </w:r>
    </w:p>
    <w:p>
      <w:pPr>
        <w:pStyle w:val="10"/>
        <w:numPr>
          <w:ilvl w:val="0"/>
          <w:numId w:val="25"/>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Pejabat melaksanakan tugas rutin sebagaimana dimaksud pada ayat (1) huruf b terdiri atas:</w:t>
      </w:r>
    </w:p>
    <w:p>
      <w:pPr>
        <w:pStyle w:val="10"/>
        <w:numPr>
          <w:ilvl w:val="0"/>
          <w:numId w:val="27"/>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Pelaksana harian yang melaksanakan tugas rutin dari pejabat definitif yang berhalangan sementara; dan</w:t>
      </w:r>
    </w:p>
    <w:p>
      <w:pPr>
        <w:pStyle w:val="10"/>
        <w:numPr>
          <w:ilvl w:val="0"/>
          <w:numId w:val="27"/>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Pelaksana tugas yang melaksanakan tugas rutin dari pejabat definitif yang berhalangan tetap.</w:t>
      </w:r>
    </w:p>
    <w:p>
      <w:pPr>
        <w:pStyle w:val="10"/>
        <w:numPr>
          <w:ilvl w:val="0"/>
          <w:numId w:val="25"/>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dapat memberikan Mandat kepada Badan dan/atau Pejabat Pemerintahan lain yang menjadi bawahannya, kecuali ditentukan lain dalam ketentuan peraturan perundang-undangan.</w:t>
      </w:r>
    </w:p>
    <w:p>
      <w:pPr>
        <w:pStyle w:val="10"/>
        <w:numPr>
          <w:ilvl w:val="0"/>
          <w:numId w:val="25"/>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yang menerima mandat harus menyebutkan atas nama Badan dan/atau Pejabat Pemerintahan yang memberikan mandat.</w:t>
      </w:r>
    </w:p>
    <w:p>
      <w:pPr>
        <w:pStyle w:val="10"/>
        <w:numPr>
          <w:ilvl w:val="0"/>
          <w:numId w:val="25"/>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yang memberikan mandat dapat menggunakan sendiri wewenang yang telah diberikan melalui mandat kecuali ditentukan lain dalam peraturan perundang-undangan.</w:t>
      </w:r>
    </w:p>
    <w:p>
      <w:pPr>
        <w:pStyle w:val="10"/>
        <w:numPr>
          <w:ilvl w:val="0"/>
          <w:numId w:val="25"/>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Dalam hal pelaksanaan wewenang berdasarkan mandat menimbulkan ketidakefektifan penyelenggaraan pemerintahan, Badan dan/atau Pejabat Pemerintahan yang memberikan mandat dapat menarik kembali wewenang yang telah dimandatkan.</w:t>
      </w:r>
    </w:p>
    <w:p>
      <w:pPr>
        <w:pStyle w:val="10"/>
        <w:numPr>
          <w:ilvl w:val="0"/>
          <w:numId w:val="25"/>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yang memperoleh wewenang melalui mandat tidak berwenang mengambil keputusan dan/atau tindakan yang bersifat strategis yang berdampak pada perubahan status hukum pada aspek organisasi, kepegawaian, dan alokasi anggaran.</w:t>
      </w:r>
    </w:p>
    <w:p>
      <w:pPr>
        <w:pStyle w:val="10"/>
        <w:numPr>
          <w:ilvl w:val="0"/>
          <w:numId w:val="25"/>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yang memperoleh wewenang melalui mandat tanggung jawab kewenangan tetap pada pemberi mandat.</w:t>
      </w:r>
    </w:p>
    <w:p>
      <w:pPr>
        <w:spacing w:after="0"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Melalui ketentuan di atas tampak bagaimana penggunaan kewenangan yang diperoleh melalui atribusi, delegasi, dan mandat. Hal ini perlu dipahami berkaitan dengan pertanggungjawaban penggunaan kewenangan tersebut. Di samping itu, perlu dipahami pula bahwa kewenangan itu mempunyai keterbatasan. Hal itu dapat dilihat dari ketentuan sebagaimana disebutkan dalam Pasal 15 UU. No. 30 Tahun 2014 yang mengatakan, bahwa :</w:t>
      </w:r>
    </w:p>
    <w:p>
      <w:pPr>
        <w:pStyle w:val="10"/>
        <w:numPr>
          <w:ilvl w:val="0"/>
          <w:numId w:val="28"/>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Wewenang Badan dan/atau Pejabat Pemerintahan dibatasi oleh:</w:t>
      </w:r>
    </w:p>
    <w:p>
      <w:pPr>
        <w:pStyle w:val="10"/>
        <w:numPr>
          <w:ilvl w:val="0"/>
          <w:numId w:val="29"/>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Masa atau tenggang waktu wewenang; dan</w:t>
      </w:r>
    </w:p>
    <w:p>
      <w:pPr>
        <w:pStyle w:val="10"/>
        <w:numPr>
          <w:ilvl w:val="0"/>
          <w:numId w:val="29"/>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Wilayah atau daerah berlakunya wewenang; dan</w:t>
      </w:r>
    </w:p>
    <w:p>
      <w:pPr>
        <w:pStyle w:val="10"/>
        <w:numPr>
          <w:ilvl w:val="0"/>
          <w:numId w:val="29"/>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Cakupan bidang atau materi wewenang.</w:t>
      </w:r>
    </w:p>
    <w:p>
      <w:pPr>
        <w:pStyle w:val="10"/>
        <w:numPr>
          <w:ilvl w:val="0"/>
          <w:numId w:val="28"/>
        </w:numPr>
        <w:spacing w:line="240" w:lineRule="auto"/>
        <w:jc w:val="both"/>
        <w:rPr>
          <w:rFonts w:ascii="Times New Roman" w:hAnsi="Times New Roman" w:cs="Times New Roman"/>
          <w:sz w:val="24"/>
          <w:szCs w:val="24"/>
          <w:lang w:val="de-DE"/>
        </w:rPr>
      </w:pPr>
      <w:r>
        <w:rPr>
          <w:rFonts w:ascii="Times New Roman" w:hAnsi="Times New Roman" w:cs="Times New Roman"/>
          <w:sz w:val="24"/>
          <w:szCs w:val="24"/>
          <w:lang w:val="de-DE"/>
        </w:rPr>
        <w:t>Badan dan/atau Pejabat Pemerintahan yang telah berakhir masa atau tenggang waktu wewenang  sebagaimana dimaksud pada ayat (1) huruf a tidak dibenarkan mengambil keputusan dan/atau tindakan.</w:t>
      </w:r>
    </w:p>
    <w:p>
      <w:pPr>
        <w:spacing w:line="360" w:lineRule="auto"/>
        <w:jc w:val="both"/>
        <w:rPr>
          <w:rFonts w:ascii="Times New Roman" w:hAnsi="Times New Roman" w:cs="Times New Roman"/>
          <w:sz w:val="24"/>
          <w:szCs w:val="24"/>
          <w:lang w:val="de-DE"/>
        </w:rPr>
      </w:pPr>
      <w:r>
        <w:rPr>
          <w:rFonts w:ascii="Times New Roman" w:hAnsi="Times New Roman" w:cs="Times New Roman"/>
          <w:sz w:val="24"/>
          <w:szCs w:val="24"/>
          <w:lang w:val="de-DE"/>
        </w:rPr>
        <w:t>Apabila teori kewenangan sebagaimana dikemukakan di atas dihubungkan dengan penyelenggaraan pemerintahan daerah, Presiden melimpah kewenangan itu kepada Pemerintah Daerah berdasarkan kewenangan atribusi yang diberikan UUD 1945 kepada Presiden. Sebagai landasannya adalah ketentuan Pasal 4 ayat (1). Presiden sebagai kepala Pemerintahan mendelegasikan sebagian kewenangannya kepada Pemerintah Daerah untuk melaksanakan pemerintahan di daerah. Berdasarkan ketentuan tersebut, Pemerintah Daerah mendapatkan kewenangan untuk menjalankan pemerintahan di daerah berdasarkan delegasi dari Presiden. Tetapi, sebagaimana disebut dalam Pasal 7 ayat (2) UU. No. 23 Tahun 2014 yang mengatakan, bahwa :</w:t>
      </w:r>
    </w:p>
    <w:p>
      <w:pPr>
        <w:spacing w:line="240" w:lineRule="auto"/>
        <w:ind w:left="567"/>
        <w:jc w:val="both"/>
        <w:rPr>
          <w:rFonts w:ascii="Times New Roman" w:hAnsi="Times New Roman" w:cs="Times New Roman"/>
          <w:sz w:val="24"/>
          <w:szCs w:val="24"/>
          <w:lang w:val="de-DE"/>
        </w:rPr>
      </w:pPr>
      <w:r>
        <w:rPr>
          <w:rFonts w:ascii="Times New Roman" w:hAnsi="Times New Roman" w:cs="Times New Roman"/>
          <w:sz w:val="24"/>
          <w:szCs w:val="24"/>
          <w:lang w:val="de-DE"/>
        </w:rPr>
        <w:t>Presiden memegang tanggung jawab akhir atas penyelenggaran Urusan Pemerintahan yang dilaksanakan oleh Pemerintah Pusat dan Daerah.</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Berdasarkan ketentuan sebagaimana disebutkan di atas tampak bahwa biarpun Presiden mendelegasikan sebagian kewenangannya kepada Pemerintah Daerah, tanggung jawab akhir dalam penyelenggaraan pemerintahan tetap berada pada Presiden. Oleh karena itu, adalah logis Presiden sebagai penanggungjawab pemerintahan melakukan pengawasan dan kontrol kepada Pemerintah Daerah. Kontrol itu merupakan hak konstitusional yang diberikan UUD 1945 jo UU. No. 23 Tahun 2014 kepada Presiden.</w:t>
      </w:r>
    </w:p>
    <w:p>
      <w:pPr>
        <w:spacing w:line="360" w:lineRule="auto"/>
        <w:jc w:val="both"/>
        <w:rPr>
          <w:rFonts w:ascii="Times New Roman" w:hAnsi="Times New Roman" w:cs="Times New Roman"/>
          <w:sz w:val="24"/>
          <w:szCs w:val="24"/>
        </w:rPr>
      </w:pPr>
    </w:p>
    <w:p>
      <w:pPr>
        <w:numPr>
          <w:ilvl w:val="0"/>
          <w:numId w:val="16"/>
        </w:numPr>
        <w:spacing w:line="360" w:lineRule="auto"/>
        <w:ind w:left="425" w:leftChars="0" w:hanging="425" w:firstLineChars="0"/>
        <w:jc w:val="both"/>
        <w:rPr>
          <w:rFonts w:ascii="Times New Roman" w:hAnsi="Times New Roman" w:cs="Times New Roman"/>
          <w:b/>
          <w:sz w:val="24"/>
          <w:szCs w:val="24"/>
        </w:rPr>
      </w:pPr>
      <w:r>
        <w:rPr>
          <w:rFonts w:ascii="Times New Roman" w:hAnsi="Times New Roman" w:cs="Times New Roman"/>
          <w:b/>
          <w:sz w:val="24"/>
          <w:szCs w:val="24"/>
        </w:rPr>
        <w:t xml:space="preserve">Sistem </w:t>
      </w:r>
      <w:r>
        <w:rPr>
          <w:rFonts w:ascii="Times New Roman" w:hAnsi="Times New Roman" w:cs="Times New Roman"/>
          <w:b/>
          <w:sz w:val="24"/>
          <w:szCs w:val="24"/>
          <w:lang w:val="id-ID"/>
        </w:rPr>
        <w:t xml:space="preserve">Pengawasan </w:t>
      </w:r>
      <w:r>
        <w:rPr>
          <w:rFonts w:ascii="Times New Roman" w:hAnsi="Times New Roman" w:cs="Times New Roman"/>
          <w:b/>
          <w:sz w:val="24"/>
          <w:szCs w:val="24"/>
        </w:rPr>
        <w:t>Konstitusional</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Times New Roman" w:hAnsi="Times New Roman" w:cs="Times New Roman"/>
          <w:sz w:val="24"/>
          <w:szCs w:val="24"/>
        </w:rPr>
      </w:pPr>
      <w:r>
        <w:rPr>
          <w:rFonts w:ascii="Times New Roman" w:hAnsi="Times New Roman" w:cs="Times New Roman"/>
          <w:b/>
          <w:sz w:val="24"/>
          <w:szCs w:val="24"/>
          <w:lang w:val="id-ID"/>
        </w:rPr>
        <w:t xml:space="preserve">  </w:t>
      </w:r>
      <w:r>
        <w:rPr>
          <w:rFonts w:ascii="Times New Roman" w:hAnsi="Times New Roman" w:cs="Times New Roman"/>
          <w:sz w:val="24"/>
          <w:szCs w:val="24"/>
          <w:lang w:val="id-ID"/>
        </w:rPr>
        <w:t xml:space="preserve">     Negara adalah satu organisasi kekuasaan. Dalam setiap negara, betapapun kecilnya, selalu terdapat bermacam-macam lingkungan kekuasaan, baik yang berada dalam suprastruktur politik maupun yang berada dalam infrastruktur politik. Lingkungan kekuasaan yang berada dala</w:t>
      </w:r>
      <w:r>
        <w:rPr>
          <w:rFonts w:ascii="Times New Roman" w:hAnsi="Times New Roman" w:cs="Times New Roman"/>
          <w:sz w:val="24"/>
          <w:szCs w:val="24"/>
        </w:rPr>
        <w:t>m</w:t>
      </w:r>
      <w:r>
        <w:rPr>
          <w:rFonts w:ascii="Times New Roman" w:hAnsi="Times New Roman" w:cs="Times New Roman"/>
          <w:sz w:val="24"/>
          <w:szCs w:val="24"/>
          <w:lang w:val="id-ID"/>
        </w:rPr>
        <w:t xml:space="preserve"> suprastruktur politik ialah berbagai macam alat perlengkapan negara atau lembaga negara, dan yang berada dalam infrastruktur politik berupa komponen-komponen politik, golongan kepentingan, golongan penekan, alat komunikasi politik dan tokoh politik.</w:t>
      </w:r>
      <w:r>
        <w:rPr>
          <w:rStyle w:val="6"/>
          <w:rFonts w:ascii="Times New Roman" w:hAnsi="Times New Roman" w:cs="Times New Roman"/>
          <w:sz w:val="24"/>
          <w:szCs w:val="24"/>
          <w:lang w:val="id-ID"/>
        </w:rPr>
        <w:footnoteReference w:id="27"/>
      </w:r>
      <w:r>
        <w:rPr>
          <w:rFonts w:ascii="Times New Roman" w:hAnsi="Times New Roman" w:cs="Times New Roman"/>
          <w:sz w:val="24"/>
          <w:szCs w:val="24"/>
          <w:lang w:val="id-ID"/>
        </w:rPr>
        <w:t xml:space="preserve"> Baik lingkungan kekuasaan yang berada dalam suprastruktur politik maupun yang berada dalam infrastruktur politik mempunyai kekuasaan. </w:t>
      </w:r>
      <w:r>
        <w:rPr>
          <w:rFonts w:ascii="Times New Roman" w:hAnsi="Times New Roman" w:cs="Times New Roman"/>
          <w:sz w:val="24"/>
          <w:szCs w:val="24"/>
        </w:rPr>
        <w:t>Sri Soemantri mengemukakan bahwa</w:t>
      </w:r>
      <w:r>
        <w:rPr>
          <w:rFonts w:ascii="Times New Roman" w:hAnsi="Times New Roman" w:cs="Times New Roman"/>
          <w:sz w:val="24"/>
          <w:szCs w:val="24"/>
          <w:lang w:val="id-ID"/>
        </w:rPr>
        <w:t xml:space="preserve"> kekuasaan adalah kemampuan untuk memaksakan kehendak pihak lain atau kemampuan untuk mengendalikan keinginan atau kehendak orang lain. Dengan demikian, orang atau badan yang berkemampuan seperti dikemukakan di atas mempunyai kekuasaan.</w:t>
      </w:r>
      <w:r>
        <w:rPr>
          <w:rStyle w:val="6"/>
          <w:rFonts w:ascii="Times New Roman" w:hAnsi="Times New Roman" w:cs="Times New Roman"/>
          <w:sz w:val="24"/>
          <w:szCs w:val="24"/>
          <w:lang w:val="id-ID"/>
        </w:rPr>
        <w:footnoteReference w:id="28"/>
      </w:r>
      <w:r>
        <w:rPr>
          <w:rFonts w:ascii="Times New Roman" w:hAnsi="Times New Roman" w:cs="Times New Roman"/>
          <w:sz w:val="24"/>
          <w:szCs w:val="24"/>
        </w:rPr>
        <w:t xml:space="preserve"> Soerjono Soekanto juga  memberi pengertian bahwa kekuasaan itu sebagai kemampuan untuk mempengaruhi pihak lain menurut kehendak yang ada pada pemegang kekuasaan. Orang lain itu ada yang dengan sukarela dan terpaksa untuk menjalankannya</w:t>
      </w:r>
      <w:r>
        <w:rPr>
          <w:rStyle w:val="6"/>
          <w:rFonts w:ascii="Times New Roman" w:hAnsi="Times New Roman" w:cs="Times New Roman"/>
          <w:sz w:val="24"/>
          <w:szCs w:val="24"/>
        </w:rPr>
        <w:footnoteReference w:id="29"/>
      </w:r>
      <w:r>
        <w:rPr>
          <w:rFonts w:ascii="Times New Roman" w:hAnsi="Times New Roman" w:cs="Times New Roman"/>
          <w:sz w:val="24"/>
          <w:szCs w:val="24"/>
        </w:rPr>
        <w:t xml:space="preserve">. </w:t>
      </w:r>
    </w:p>
    <w:p>
      <w:pPr>
        <w:keepNext w:val="0"/>
        <w:keepLines w:val="0"/>
        <w:pageBreakBefore w:val="0"/>
        <w:widowControl/>
        <w:kinsoku/>
        <w:wordWrap/>
        <w:overflowPunct/>
        <w:topLinePunct w:val="0"/>
        <w:autoSpaceDE/>
        <w:autoSpaceDN/>
        <w:bidi w:val="0"/>
        <w:adjustRightInd/>
        <w:snapToGrid/>
        <w:spacing w:after="0" w:line="360" w:lineRule="auto"/>
        <w:ind w:firstLine="720"/>
        <w:jc w:val="both"/>
        <w:textAlignment w:val="auto"/>
        <w:rPr>
          <w:rFonts w:ascii="Times New Roman" w:hAnsi="Times New Roman" w:cs="Times New Roman"/>
          <w:sz w:val="24"/>
          <w:szCs w:val="24"/>
          <w:lang w:val="id-ID"/>
        </w:rPr>
      </w:pPr>
      <w:r>
        <w:rPr>
          <w:rFonts w:ascii="Times New Roman" w:hAnsi="Times New Roman" w:cs="Times New Roman"/>
          <w:sz w:val="24"/>
          <w:szCs w:val="24"/>
          <w:lang w:val="id-ID"/>
        </w:rPr>
        <w:t>Menurut pengalaman dalam sejarah dunia, cukup terbukti bahwa setiap orang atau golongan yang memegang kekuasaan cenderung menyalahgunakan kekuasaan. Penyalahgunaan kekuasaan ini akan menimbulkan kesewenang-wenangan.</w:t>
      </w:r>
      <w:r>
        <w:rPr>
          <w:rFonts w:ascii="Times New Roman" w:hAnsi="Times New Roman" w:cs="Times New Roman"/>
          <w:sz w:val="24"/>
          <w:szCs w:val="24"/>
        </w:rPr>
        <w:t xml:space="preserve"> Lord Acton pernah mengatakan : </w:t>
      </w:r>
      <w:r>
        <w:rPr>
          <w:rFonts w:ascii="Times New Roman" w:hAnsi="Times New Roman" w:cs="Times New Roman"/>
          <w:i/>
          <w:sz w:val="24"/>
          <w:szCs w:val="24"/>
        </w:rPr>
        <w:t>“Power tends to corrupt, but absolute power corrupts absolutely”</w:t>
      </w:r>
      <w:r>
        <w:rPr>
          <w:rStyle w:val="6"/>
          <w:rFonts w:ascii="Times New Roman" w:hAnsi="Times New Roman" w:cs="Times New Roman"/>
          <w:i/>
          <w:sz w:val="24"/>
          <w:szCs w:val="24"/>
        </w:rPr>
        <w:footnoteReference w:id="30"/>
      </w:r>
      <w:r>
        <w:rPr>
          <w:rFonts w:ascii="Times New Roman" w:hAnsi="Times New Roman" w:cs="Times New Roman"/>
          <w:sz w:val="24"/>
          <w:szCs w:val="24"/>
        </w:rPr>
        <w:t xml:space="preserve">. Oleh karena itu, </w:t>
      </w:r>
      <w:r>
        <w:rPr>
          <w:rFonts w:ascii="Times New Roman" w:hAnsi="Times New Roman" w:cs="Times New Roman"/>
          <w:sz w:val="24"/>
          <w:szCs w:val="24"/>
          <w:lang w:val="id-ID"/>
        </w:rPr>
        <w:t>seperti dikemukakan oleh Sri Soemantri</w:t>
      </w:r>
      <w:r>
        <w:rPr>
          <w:rStyle w:val="6"/>
          <w:rFonts w:ascii="Times New Roman" w:hAnsi="Times New Roman" w:cs="Times New Roman"/>
          <w:sz w:val="24"/>
          <w:szCs w:val="24"/>
          <w:lang w:val="id-ID"/>
        </w:rPr>
        <w:footnoteReference w:id="31"/>
      </w:r>
      <w:r>
        <w:rPr>
          <w:rFonts w:ascii="Times New Roman" w:hAnsi="Times New Roman" w:cs="Times New Roman"/>
          <w:sz w:val="24"/>
          <w:szCs w:val="24"/>
          <w:lang w:val="id-ID"/>
        </w:rPr>
        <w:t xml:space="preserve"> , bahwa :</w:t>
      </w:r>
    </w:p>
    <w:p>
      <w:pPr>
        <w:spacing w:line="240" w:lineRule="auto"/>
        <w:ind w:left="397"/>
        <w:jc w:val="both"/>
        <w:rPr>
          <w:rFonts w:ascii="Times New Roman" w:hAnsi="Times New Roman" w:cs="Times New Roman"/>
          <w:i/>
          <w:sz w:val="24"/>
          <w:szCs w:val="24"/>
          <w:lang w:val="id-ID"/>
        </w:rPr>
      </w:pPr>
      <w:r>
        <w:rPr>
          <w:rFonts w:ascii="Times New Roman" w:hAnsi="Times New Roman" w:cs="Times New Roman"/>
          <w:i/>
          <w:sz w:val="24"/>
          <w:szCs w:val="24"/>
          <w:lang w:val="id-ID"/>
        </w:rPr>
        <w:t>“... untuk mencegah terjadinya penyalahgunaan kekuasaan itu perlu dilakukan usaha-usaha untuk membatasinya”</w:t>
      </w:r>
    </w:p>
    <w:p>
      <w:pPr>
        <w:spacing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Salah satu usaha untuk membatasi kekuasaan itu menurut </w:t>
      </w:r>
      <w:r>
        <w:rPr>
          <w:rFonts w:ascii="Times New Roman" w:hAnsi="Times New Roman" w:cs="Times New Roman"/>
          <w:sz w:val="24"/>
          <w:szCs w:val="24"/>
        </w:rPr>
        <w:t>Sri Soemantri</w:t>
      </w:r>
      <w:r>
        <w:rPr>
          <w:rFonts w:ascii="Times New Roman" w:hAnsi="Times New Roman" w:cs="Times New Roman"/>
          <w:sz w:val="24"/>
          <w:szCs w:val="24"/>
          <w:lang w:val="id-ID"/>
        </w:rPr>
        <w:t xml:space="preserve"> yang mempunyai arti penting dan menentukan dilakukan melalui hukum. Dalam kehidupan bernegara, konstitusi atau Undang-Undang Dasar merupakan suatu sumber hukum yang mempunyai kedudukan sangat penting dalam usaha membatasi kekuasaan. Gagasan untuk mengadakan dalam suatu negara disebut gagasan konstitusionalisme.  Sehubungan dengan itu Carl J. Friedrich</w:t>
      </w:r>
      <w:r>
        <w:rPr>
          <w:rStyle w:val="6"/>
          <w:rFonts w:ascii="Times New Roman" w:hAnsi="Times New Roman" w:cs="Times New Roman"/>
          <w:sz w:val="24"/>
          <w:szCs w:val="24"/>
          <w:lang w:val="id-ID"/>
        </w:rPr>
        <w:footnoteReference w:id="32"/>
      </w:r>
      <w:r>
        <w:rPr>
          <w:rFonts w:ascii="Times New Roman" w:hAnsi="Times New Roman" w:cs="Times New Roman"/>
          <w:sz w:val="24"/>
          <w:szCs w:val="24"/>
          <w:lang w:val="id-ID"/>
        </w:rPr>
        <w:t xml:space="preserve"> mengatakan bahwa konstitusionalisme merupakan : </w:t>
      </w:r>
    </w:p>
    <w:p>
      <w:pPr>
        <w:ind w:left="397"/>
        <w:jc w:val="both"/>
        <w:rPr>
          <w:rFonts w:ascii="Times New Roman" w:hAnsi="Times New Roman" w:cs="Times New Roman"/>
          <w:i/>
          <w:sz w:val="24"/>
          <w:szCs w:val="24"/>
          <w:lang w:val="id-ID"/>
        </w:rPr>
      </w:pPr>
      <w:r>
        <w:rPr>
          <w:rFonts w:ascii="Times New Roman" w:hAnsi="Times New Roman" w:cs="Times New Roman"/>
          <w:i/>
          <w:sz w:val="24"/>
          <w:szCs w:val="24"/>
          <w:lang w:val="id-ID"/>
        </w:rPr>
        <w:t xml:space="preserve">“a set of activities organized by and operated on behalf of the people, but subject to a series of restraints which attempt to ensure that the power which is needed for such governance is not abused by those who are called upon to do the governing”. </w:t>
      </w:r>
    </w:p>
    <w:p>
      <w:pPr>
        <w:spacing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Kalau pendapat Carl J. Friedrich dihubungkan dengan pendapat Sri Soemantri seperti diuraikan di atas, </w:t>
      </w:r>
      <w:r>
        <w:rPr>
          <w:rFonts w:ascii="Times New Roman" w:hAnsi="Times New Roman" w:cs="Times New Roman"/>
          <w:sz w:val="24"/>
          <w:szCs w:val="24"/>
        </w:rPr>
        <w:t xml:space="preserve">tampak </w:t>
      </w:r>
      <w:r>
        <w:rPr>
          <w:rFonts w:ascii="Times New Roman" w:hAnsi="Times New Roman" w:cs="Times New Roman"/>
          <w:sz w:val="24"/>
          <w:szCs w:val="24"/>
          <w:lang w:val="id-ID"/>
        </w:rPr>
        <w:t>bahwa pembatasan kekuasaan dalam negara itu dilakukan melalui Undang-Undang Dasar atau konstitusi. Sebab, seperti dikemukakan oleh E.C.S. Wade</w:t>
      </w:r>
      <w:r>
        <w:rPr>
          <w:rStyle w:val="6"/>
          <w:rFonts w:ascii="Times New Roman" w:hAnsi="Times New Roman" w:cs="Times New Roman"/>
          <w:sz w:val="24"/>
          <w:szCs w:val="24"/>
          <w:lang w:val="id-ID"/>
        </w:rPr>
        <w:footnoteReference w:id="33"/>
      </w:r>
      <w:r>
        <w:rPr>
          <w:rFonts w:ascii="Times New Roman" w:hAnsi="Times New Roman" w:cs="Times New Roman"/>
          <w:sz w:val="24"/>
          <w:szCs w:val="24"/>
          <w:lang w:val="id-ID"/>
        </w:rPr>
        <w:t xml:space="preserve"> bahwa Undang-Undang Dasar adalah :</w:t>
      </w:r>
    </w:p>
    <w:p>
      <w:pPr>
        <w:spacing w:line="360" w:lineRule="auto"/>
        <w:ind w:left="397"/>
        <w:jc w:val="both"/>
        <w:rPr>
          <w:rFonts w:ascii="Times New Roman" w:hAnsi="Times New Roman" w:cs="Times New Roman"/>
          <w:i/>
          <w:sz w:val="24"/>
          <w:szCs w:val="24"/>
          <w:lang w:val="id-ID"/>
        </w:rPr>
      </w:pPr>
      <w:r>
        <w:rPr>
          <w:rFonts w:ascii="Times New Roman" w:hAnsi="Times New Roman" w:cs="Times New Roman"/>
          <w:i/>
          <w:sz w:val="24"/>
          <w:szCs w:val="24"/>
          <w:lang w:val="id-ID"/>
        </w:rPr>
        <w:t>“... a document wich sets out the framework and principal functions of the organs of government of a state and declares the operation of those organs”.</w:t>
      </w:r>
    </w:p>
    <w:p>
      <w:pPr>
        <w:spacing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Kalau negara dianggap sebagai suatu organi</w:t>
      </w:r>
      <w:r>
        <w:rPr>
          <w:rFonts w:ascii="Times New Roman" w:hAnsi="Times New Roman" w:cs="Times New Roman"/>
          <w:sz w:val="24"/>
          <w:szCs w:val="24"/>
        </w:rPr>
        <w:t>sasi</w:t>
      </w:r>
      <w:r>
        <w:rPr>
          <w:rFonts w:ascii="Times New Roman" w:hAnsi="Times New Roman" w:cs="Times New Roman"/>
          <w:sz w:val="24"/>
          <w:szCs w:val="24"/>
          <w:lang w:val="id-ID"/>
        </w:rPr>
        <w:t xml:space="preserve"> kekuasaan, Undang-Undang Dasar dapat dipandang sebagai lembaga atau kumpulan asas-asas yang menetapkan bagaimana kekuasaan itu dibagi (misalnya antara legislatif, eksekutif, dan yudi</w:t>
      </w:r>
      <w:r>
        <w:rPr>
          <w:rFonts w:ascii="Times New Roman" w:hAnsi="Times New Roman" w:cs="Times New Roman"/>
          <w:sz w:val="24"/>
          <w:szCs w:val="24"/>
        </w:rPr>
        <w:t>katif</w:t>
      </w:r>
      <w:r>
        <w:rPr>
          <w:rFonts w:ascii="Times New Roman" w:hAnsi="Times New Roman" w:cs="Times New Roman"/>
          <w:sz w:val="24"/>
          <w:szCs w:val="24"/>
          <w:lang w:val="id-ID"/>
        </w:rPr>
        <w:t>) serta menentukan dengan cara bagaimana pusat-pusat kekuasaan itu bekerjasama dan disesuaikan satu sama lainnya. Bagir Manan</w:t>
      </w:r>
      <w:r>
        <w:rPr>
          <w:rStyle w:val="6"/>
          <w:rFonts w:ascii="Times New Roman" w:hAnsi="Times New Roman" w:cs="Times New Roman"/>
          <w:sz w:val="24"/>
          <w:szCs w:val="24"/>
          <w:lang w:val="id-ID"/>
        </w:rPr>
        <w:footnoteReference w:id="34"/>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mengatakan bahwa </w:t>
      </w:r>
      <w:r>
        <w:rPr>
          <w:rFonts w:ascii="Times New Roman" w:hAnsi="Times New Roman" w:cs="Times New Roman"/>
          <w:sz w:val="24"/>
          <w:szCs w:val="24"/>
          <w:lang w:val="id-ID"/>
        </w:rPr>
        <w:t>konstitusi itu mengatur organisasi negara dan susunan pemerintahan.</w:t>
      </w:r>
      <w:r>
        <w:rPr>
          <w:rFonts w:ascii="Times New Roman" w:hAnsi="Times New Roman" w:cs="Times New Roman"/>
          <w:sz w:val="24"/>
          <w:szCs w:val="24"/>
        </w:rPr>
        <w:t xml:space="preserve"> </w:t>
      </w:r>
      <w:r>
        <w:rPr>
          <w:rFonts w:ascii="Times New Roman" w:hAnsi="Times New Roman" w:cs="Times New Roman"/>
          <w:sz w:val="24"/>
          <w:szCs w:val="24"/>
          <w:lang w:val="id-ID"/>
        </w:rPr>
        <w:t>Akan tetapi, seperti dikemukakan oleh Miriam Budiardjo</w:t>
      </w:r>
      <w:r>
        <w:rPr>
          <w:rStyle w:val="6"/>
          <w:rFonts w:ascii="Times New Roman" w:hAnsi="Times New Roman" w:cs="Times New Roman"/>
          <w:sz w:val="24"/>
          <w:szCs w:val="24"/>
          <w:lang w:val="id-ID"/>
        </w:rPr>
        <w:footnoteReference w:id="35"/>
      </w:r>
      <w:r>
        <w:rPr>
          <w:rFonts w:ascii="Times New Roman" w:hAnsi="Times New Roman" w:cs="Times New Roman"/>
          <w:sz w:val="24"/>
          <w:szCs w:val="24"/>
          <w:lang w:val="id-ID"/>
        </w:rPr>
        <w:t xml:space="preserve"> bahwa di dalam gagasan konstitusionalisme itu, Undang-Undang Dasar tidak hanya merupakan suatu dokumen yang mencerminkan pembagian kekuasaan di antara lembaga-lembaga kenegaraan, atau dengan perkataan lain yang hanya merupakan suatu “</w:t>
      </w:r>
      <w:r>
        <w:rPr>
          <w:rFonts w:ascii="Times New Roman" w:hAnsi="Times New Roman" w:cs="Times New Roman"/>
          <w:i/>
          <w:sz w:val="24"/>
          <w:szCs w:val="24"/>
          <w:lang w:val="id-ID"/>
        </w:rPr>
        <w:t>anatomy of power relationship</w:t>
      </w:r>
      <w:r>
        <w:rPr>
          <w:rFonts w:ascii="Times New Roman" w:hAnsi="Times New Roman" w:cs="Times New Roman"/>
          <w:sz w:val="24"/>
          <w:szCs w:val="24"/>
          <w:lang w:val="id-ID"/>
        </w:rPr>
        <w:t>”, yang dapat diubah, akan tetapi, Undang-Undang Dasar juga harus menjamin hak–hak asasi manusia warganegaranya. Perlindungan terhadap hak-hak asasi manusia perlu mendapat perhatian di dalam Undang-Undang Dasar untuk mencegah tindakan atau perbuatan yang bersifat sewenang-wenang dari pemerintah terhadap warganya. Artinya perbuatan-perbuatan pemerintah tidak boleh melampaui atau melanggar hak asasi, tidak boleh menyebabkan orang-orang tidak mendapat perlindungan hukum sebagaimana mestinya, atau tidak boleh membeda-bedakan penduduk dengan alasan yang tidak sah. Pendapat ini sesuai dengan hakekat konstitusi itu sendiri</w:t>
      </w:r>
      <w:r>
        <w:rPr>
          <w:rFonts w:ascii="Times New Roman" w:hAnsi="Times New Roman" w:cs="Times New Roman"/>
          <w:sz w:val="24"/>
          <w:szCs w:val="24"/>
        </w:rPr>
        <w:t xml:space="preserve"> sebagaiman disebutkan oleh</w:t>
      </w:r>
      <w:r>
        <w:rPr>
          <w:rFonts w:ascii="Times New Roman" w:hAnsi="Times New Roman" w:cs="Times New Roman"/>
          <w:sz w:val="24"/>
          <w:szCs w:val="24"/>
          <w:lang w:val="id-ID"/>
        </w:rPr>
        <w:t xml:space="preserve"> Bagir Manan</w:t>
      </w:r>
      <w:r>
        <w:rPr>
          <w:rFonts w:ascii="Times New Roman" w:hAnsi="Times New Roman" w:cs="Times New Roman"/>
          <w:sz w:val="24"/>
          <w:szCs w:val="24"/>
        </w:rPr>
        <w:t xml:space="preserve"> yang </w:t>
      </w:r>
      <w:r>
        <w:rPr>
          <w:rFonts w:ascii="Times New Roman" w:hAnsi="Times New Roman" w:cs="Times New Roman"/>
          <w:sz w:val="24"/>
          <w:szCs w:val="24"/>
          <w:lang w:val="id-ID"/>
        </w:rPr>
        <w:t>mengatakan, bahwa :</w:t>
      </w:r>
    </w:p>
    <w:p>
      <w:pPr>
        <w:spacing w:line="240" w:lineRule="auto"/>
        <w:ind w:left="630"/>
        <w:jc w:val="both"/>
        <w:rPr>
          <w:rFonts w:ascii="Times New Roman" w:hAnsi="Times New Roman" w:cs="Times New Roman"/>
          <w:sz w:val="24"/>
          <w:szCs w:val="24"/>
          <w:lang w:val="id-ID"/>
        </w:rPr>
      </w:pPr>
      <w:r>
        <w:rPr>
          <w:rFonts w:ascii="Times New Roman" w:hAnsi="Times New Roman" w:cs="Times New Roman"/>
          <w:sz w:val="24"/>
          <w:szCs w:val="24"/>
        </w:rPr>
        <w:t>“</w:t>
      </w:r>
      <w:r>
        <w:rPr>
          <w:rFonts w:ascii="Times New Roman" w:hAnsi="Times New Roman" w:cs="Times New Roman"/>
          <w:sz w:val="24"/>
          <w:szCs w:val="24"/>
          <w:lang w:val="id-ID"/>
        </w:rPr>
        <w:t>Hakikat konstitusi tidak lain dari perwujudan paham tentang konstitusi atau konstitusionalisme yaitu pembatasan terhadap kekuasaan pemerintahan di satu pihak dan jaminan terhadap hak-hak warga negara maupun setiap penduduk di pihak lain”.</w:t>
      </w:r>
    </w:p>
    <w:p>
      <w:pPr>
        <w:keepNext w:val="0"/>
        <w:keepLines w:val="0"/>
        <w:pageBreakBefore w:val="0"/>
        <w:widowControl/>
        <w:kinsoku/>
        <w:wordWrap/>
        <w:overflowPunct/>
        <w:topLinePunct w:val="0"/>
        <w:autoSpaceDE/>
        <w:autoSpaceDN/>
        <w:bidi w:val="0"/>
        <w:adjustRightInd/>
        <w:snapToGrid/>
        <w:spacing w:after="0" w:line="360" w:lineRule="auto"/>
        <w:ind w:firstLine="630"/>
        <w:jc w:val="both"/>
        <w:textAlignment w:val="auto"/>
        <w:rPr>
          <w:rFonts w:ascii="Times New Roman" w:hAnsi="Times New Roman" w:cs="Times New Roman"/>
          <w:sz w:val="24"/>
          <w:szCs w:val="24"/>
        </w:rPr>
      </w:pPr>
      <w:r>
        <w:rPr>
          <w:rFonts w:ascii="Times New Roman" w:hAnsi="Times New Roman" w:cs="Times New Roman"/>
          <w:sz w:val="24"/>
          <w:szCs w:val="24"/>
          <w:lang w:val="id-ID"/>
        </w:rPr>
        <w:t xml:space="preserve">Berdasarkan uraian di atas </w:t>
      </w:r>
      <w:r>
        <w:rPr>
          <w:rFonts w:ascii="Times New Roman" w:hAnsi="Times New Roman" w:cs="Times New Roman"/>
          <w:sz w:val="24"/>
          <w:szCs w:val="24"/>
        </w:rPr>
        <w:t xml:space="preserve">tampak </w:t>
      </w:r>
      <w:r>
        <w:rPr>
          <w:rFonts w:ascii="Times New Roman" w:hAnsi="Times New Roman" w:cs="Times New Roman"/>
          <w:sz w:val="24"/>
          <w:szCs w:val="24"/>
          <w:lang w:val="id-ID"/>
        </w:rPr>
        <w:t xml:space="preserve">bahwa salah satu bentuk pengawasan terhadap pemerintah adalah dengan </w:t>
      </w:r>
      <w:r>
        <w:rPr>
          <w:rFonts w:ascii="Times New Roman" w:hAnsi="Times New Roman" w:cs="Times New Roman"/>
          <w:sz w:val="24"/>
          <w:szCs w:val="24"/>
        </w:rPr>
        <w:t>sistem</w:t>
      </w:r>
      <w:r>
        <w:rPr>
          <w:rFonts w:ascii="Times New Roman" w:hAnsi="Times New Roman" w:cs="Times New Roman"/>
          <w:sz w:val="24"/>
          <w:szCs w:val="24"/>
          <w:lang w:val="id-ID"/>
        </w:rPr>
        <w:t xml:space="preserve"> konstitusional. Pengawasan yang dilakukan terhadap penyelenggara </w:t>
      </w:r>
      <w:r>
        <w:rPr>
          <w:rFonts w:ascii="Times New Roman" w:hAnsi="Times New Roman" w:cs="Times New Roman"/>
          <w:sz w:val="24"/>
          <w:szCs w:val="24"/>
        </w:rPr>
        <w:t xml:space="preserve">negara </w:t>
      </w:r>
      <w:r>
        <w:rPr>
          <w:rFonts w:ascii="Times New Roman" w:hAnsi="Times New Roman" w:cs="Times New Roman"/>
          <w:sz w:val="24"/>
          <w:szCs w:val="24"/>
          <w:lang w:val="id-ID"/>
        </w:rPr>
        <w:t xml:space="preserve">harus tetap pada batas-batas yang telah ditetapkan dalam </w:t>
      </w:r>
      <w:r>
        <w:rPr>
          <w:rFonts w:ascii="Times New Roman" w:hAnsi="Times New Roman" w:cs="Times New Roman"/>
          <w:sz w:val="24"/>
          <w:szCs w:val="24"/>
        </w:rPr>
        <w:t>konstitusi</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Konstitusi </w:t>
      </w:r>
      <w:r>
        <w:rPr>
          <w:rFonts w:ascii="Times New Roman" w:hAnsi="Times New Roman" w:cs="Times New Roman"/>
          <w:sz w:val="24"/>
          <w:szCs w:val="24"/>
          <w:lang w:val="id-ID"/>
        </w:rPr>
        <w:t>adalah merupakan kaidah penuntun bagi organ pemerintah dalam</w:t>
      </w:r>
      <w:r>
        <w:rPr>
          <w:rFonts w:ascii="Times New Roman" w:hAnsi="Times New Roman" w:cs="Times New Roman"/>
          <w:sz w:val="24"/>
          <w:szCs w:val="24"/>
        </w:rPr>
        <w:t xml:space="preserve"> melak</w:t>
      </w:r>
      <w:r>
        <w:rPr>
          <w:rFonts w:ascii="Times New Roman" w:hAnsi="Times New Roman" w:cs="Times New Roman"/>
          <w:sz w:val="24"/>
          <w:szCs w:val="24"/>
          <w:lang w:val="id-ID"/>
        </w:rPr>
        <w:t xml:space="preserve">sanakan tugas dan fungsinya. </w:t>
      </w:r>
      <w:r>
        <w:rPr>
          <w:rFonts w:ascii="Times New Roman" w:hAnsi="Times New Roman" w:cs="Times New Roman"/>
          <w:sz w:val="24"/>
          <w:szCs w:val="24"/>
        </w:rPr>
        <w:t>Karena itu</w:t>
      </w:r>
      <w:r>
        <w:rPr>
          <w:rFonts w:ascii="Times New Roman" w:hAnsi="Times New Roman" w:cs="Times New Roman"/>
          <w:sz w:val="24"/>
          <w:szCs w:val="24"/>
          <w:lang w:val="id-ID"/>
        </w:rPr>
        <w:t xml:space="preserve">, konstitusi </w:t>
      </w:r>
      <w:r>
        <w:rPr>
          <w:rFonts w:ascii="Times New Roman" w:hAnsi="Times New Roman" w:cs="Times New Roman"/>
          <w:sz w:val="24"/>
          <w:szCs w:val="24"/>
        </w:rPr>
        <w:t>sekaligus</w:t>
      </w:r>
      <w:r>
        <w:rPr>
          <w:rFonts w:ascii="Times New Roman" w:hAnsi="Times New Roman" w:cs="Times New Roman"/>
          <w:sz w:val="24"/>
          <w:szCs w:val="24"/>
          <w:lang w:val="id-ID"/>
        </w:rPr>
        <w:t xml:space="preserve"> dijadikan sebagai alat kontrol (pengawas) dalam menjalankan tugas dan fungsi alat perlengkapan negara, yang disebut dengan sistem pengawasan konstitusional.</w:t>
      </w:r>
      <w:r>
        <w:rPr>
          <w:rFonts w:ascii="Times New Roman" w:hAnsi="Times New Roman" w:cs="Times New Roman"/>
          <w:sz w:val="24"/>
          <w:szCs w:val="24"/>
        </w:rPr>
        <w:t xml:space="preserve">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Sistem pengawasan konstitusional merupakan prinsip dasar yang harus diperhatikan dalam melakukan pengawasan terhadap penyelenggaraan pemerintahan daerah. Prinsip ini harus benar-benar diperhatikan agar jangan sampai berbenturan dengan asas otonomi dalam penyelenggaran pemerintahan di daerah sebagaimana ditentukan dalam UUD 1945 maupun UU. No. 23 Tahun 2014.Tujuannya adalah agar dalam penyelenggaraan pemerintahan daerah tersebut berjalan sesuai yang diharapkan sesuai dengan tujuan hukum berdasarkan cita-hukum Pancasila. Bernard Arief Sidharta mengemukakan, bahwa :</w:t>
      </w:r>
    </w:p>
    <w:p>
      <w:pPr>
        <w:spacing w:line="240" w:lineRule="auto"/>
        <w:ind w:left="630"/>
        <w:jc w:val="both"/>
        <w:rPr>
          <w:rFonts w:ascii="Times New Roman" w:hAnsi="Times New Roman" w:cs="Times New Roman"/>
          <w:sz w:val="24"/>
          <w:szCs w:val="24"/>
        </w:rPr>
      </w:pPr>
      <w:r>
        <w:rPr>
          <w:rFonts w:ascii="Times New Roman" w:hAnsi="Times New Roman" w:cs="Times New Roman"/>
          <w:sz w:val="24"/>
          <w:szCs w:val="24"/>
        </w:rPr>
        <w:t>Tujuan hukum berdasarkan Cita-hukum Pancasila adalah mewujudkan pengayoman bagi manusia, yakni melindungi manusia secara pasif dengan mencegah tindakan sewenang-wenang, dan secara aktif  dengan menciptakan kondisi kemasyarakatan yang manusiawi yang memungkinkan proses kemasyarakatan berlangsung secara wajar sehingga secara adil tiap manusia memperoleh kesempatan yang luas dan sama untuk mengembangkan seluruh potensi kemanusiaannya secara utuh.</w:t>
      </w:r>
      <w:r>
        <w:rPr>
          <w:rStyle w:val="6"/>
          <w:rFonts w:ascii="Times New Roman" w:hAnsi="Times New Roman" w:cs="Times New Roman"/>
          <w:sz w:val="24"/>
          <w:szCs w:val="24"/>
        </w:rPr>
        <w:footnoteReference w:id="36"/>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Lebih lanjut Bernard Arief Sidharta mengemukakan, bahwa pelaksanaan pengayoman itu dilaksanakan dengan upaya mewujudkan :</w:t>
      </w:r>
    </w:p>
    <w:p>
      <w:pPr>
        <w:pStyle w:val="10"/>
        <w:numPr>
          <w:ilvl w:val="5"/>
          <w:numId w:val="30"/>
        </w:numPr>
        <w:spacing w:after="0" w:line="240" w:lineRule="auto"/>
        <w:ind w:left="900"/>
        <w:jc w:val="both"/>
        <w:rPr>
          <w:rFonts w:ascii="Times New Roman" w:hAnsi="Times New Roman" w:cs="Times New Roman"/>
          <w:sz w:val="24"/>
          <w:szCs w:val="24"/>
        </w:rPr>
      </w:pPr>
      <w:r>
        <w:rPr>
          <w:rFonts w:ascii="Times New Roman" w:hAnsi="Times New Roman" w:cs="Times New Roman"/>
          <w:sz w:val="24"/>
          <w:szCs w:val="24"/>
        </w:rPr>
        <w:t>ketertiban dan keteraturan yang memunculkan prediktabilitas;</w:t>
      </w:r>
    </w:p>
    <w:p>
      <w:pPr>
        <w:pStyle w:val="10"/>
        <w:numPr>
          <w:ilvl w:val="5"/>
          <w:numId w:val="30"/>
        </w:numPr>
        <w:spacing w:after="0" w:line="240" w:lineRule="auto"/>
        <w:ind w:left="900"/>
        <w:jc w:val="both"/>
        <w:rPr>
          <w:rFonts w:ascii="Times New Roman" w:hAnsi="Times New Roman" w:cs="Times New Roman"/>
          <w:sz w:val="24"/>
          <w:szCs w:val="24"/>
        </w:rPr>
      </w:pPr>
      <w:r>
        <w:rPr>
          <w:rFonts w:ascii="Times New Roman" w:hAnsi="Times New Roman" w:cs="Times New Roman"/>
          <w:sz w:val="24"/>
          <w:szCs w:val="24"/>
        </w:rPr>
        <w:t>kedamaian yang berketenteraman</w:t>
      </w:r>
    </w:p>
    <w:p>
      <w:pPr>
        <w:pStyle w:val="10"/>
        <w:numPr>
          <w:ilvl w:val="5"/>
          <w:numId w:val="30"/>
        </w:numPr>
        <w:spacing w:after="0" w:line="240" w:lineRule="auto"/>
        <w:ind w:left="900"/>
        <w:jc w:val="both"/>
        <w:rPr>
          <w:rFonts w:ascii="Times New Roman" w:hAnsi="Times New Roman" w:cs="Times New Roman"/>
          <w:sz w:val="24"/>
          <w:szCs w:val="24"/>
        </w:rPr>
      </w:pPr>
      <w:r>
        <w:rPr>
          <w:rFonts w:ascii="Times New Roman" w:hAnsi="Times New Roman" w:cs="Times New Roman"/>
          <w:sz w:val="24"/>
          <w:szCs w:val="24"/>
        </w:rPr>
        <w:t>keadilan (distributif, komutatif, vindikatif, protektif)</w:t>
      </w:r>
    </w:p>
    <w:p>
      <w:pPr>
        <w:pStyle w:val="10"/>
        <w:numPr>
          <w:ilvl w:val="5"/>
          <w:numId w:val="30"/>
        </w:numPr>
        <w:spacing w:after="0" w:line="240" w:lineRule="auto"/>
        <w:ind w:left="900"/>
        <w:jc w:val="both"/>
        <w:rPr>
          <w:rFonts w:ascii="Times New Roman" w:hAnsi="Times New Roman" w:cs="Times New Roman"/>
          <w:sz w:val="24"/>
          <w:szCs w:val="24"/>
        </w:rPr>
      </w:pPr>
      <w:r>
        <w:rPr>
          <w:rFonts w:ascii="Times New Roman" w:hAnsi="Times New Roman" w:cs="Times New Roman"/>
          <w:sz w:val="24"/>
          <w:szCs w:val="24"/>
        </w:rPr>
        <w:t>kesejahteraan dan keadilan sosial</w:t>
      </w:r>
    </w:p>
    <w:p>
      <w:pPr>
        <w:pStyle w:val="10"/>
        <w:numPr>
          <w:ilvl w:val="5"/>
          <w:numId w:val="30"/>
        </w:numPr>
        <w:spacing w:after="0" w:line="360" w:lineRule="auto"/>
        <w:ind w:left="900"/>
        <w:jc w:val="both"/>
        <w:rPr>
          <w:rFonts w:ascii="Times New Roman" w:hAnsi="Times New Roman" w:cs="Times New Roman"/>
          <w:sz w:val="24"/>
          <w:szCs w:val="24"/>
        </w:rPr>
      </w:pPr>
      <w:r>
        <w:rPr>
          <w:rFonts w:ascii="Times New Roman" w:hAnsi="Times New Roman" w:cs="Times New Roman"/>
          <w:sz w:val="24"/>
          <w:szCs w:val="24"/>
        </w:rPr>
        <w:t>pembinaan ahlak luhur berdasarkan Ketuhanan Yang Maha Esa.</w:t>
      </w:r>
      <w:r>
        <w:rPr>
          <w:rStyle w:val="6"/>
          <w:rFonts w:ascii="Times New Roman" w:hAnsi="Times New Roman" w:cs="Times New Roman"/>
          <w:sz w:val="24"/>
          <w:szCs w:val="24"/>
        </w:rPr>
        <w:footnoteReference w:id="37"/>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Apabila diperhatikan pendapat di atas diharapkan bahwa dalam setiap pembentukan Perda dan Perkada itu harus tercermin tujuan hukum berdasarkan cita-hukum Pancasila. Hal itu perlu diperhatikan, sebab seperti dikemukakan oleh Bernard Arief Sidharta lebih lanjut mengatakan, bahwa :</w:t>
      </w:r>
    </w:p>
    <w:p>
      <w:pPr>
        <w:ind w:left="630"/>
        <w:jc w:val="both"/>
        <w:rPr>
          <w:rFonts w:ascii="Times New Roman" w:hAnsi="Times New Roman" w:cs="Times New Roman"/>
          <w:sz w:val="24"/>
          <w:szCs w:val="24"/>
        </w:rPr>
      </w:pPr>
      <w:r>
        <w:rPr>
          <w:rFonts w:ascii="Times New Roman" w:hAnsi="Times New Roman" w:cs="Times New Roman"/>
          <w:sz w:val="24"/>
          <w:szCs w:val="24"/>
        </w:rPr>
        <w:t>Hukum itu mengemban fungsi ekspresif, yakni mengungkapkan atau mengekspresikan pandangan hidup, nilai-nilai budaya dan keadilan. Di samping itu, hukum juga mengemban fungsi instrumental, yakni sarana untuk menciptakan dan memelihara ketertiban, stabilitas dan prediktabilitas, sarana untuk melestarikan nilai-nilai budaya dan mewujudkan keadilan, sarana pendidikan dan pengadaban masyarakat, sarana mewujudkan kemakmuran dan kesejahteraan masyarakat, dan sarana untuk pembaharuan masyarakat (mendorong, mengkanalisasi dan mengarahkan perubahan masyarakat).</w:t>
      </w:r>
      <w:r>
        <w:rPr>
          <w:rStyle w:val="6"/>
          <w:rFonts w:ascii="Times New Roman" w:hAnsi="Times New Roman" w:cs="Times New Roman"/>
          <w:sz w:val="24"/>
          <w:szCs w:val="24"/>
        </w:rPr>
        <w:footnoteReference w:id="38"/>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Dengan memperhatikan tujuan dan fungsi hukum seperti disebutkan di atas, tampak bahwa pemerintah daerah mengemban tugas yang sangat mulia dan berat. Tugas yang mulia dan berat ini adalah merupakan tantangan bagi Pemda dalam menciptakan kesejahteraan rakyat di daerah.</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Times New Roman" w:hAnsi="Times New Roman" w:cs="Times New Roman"/>
          <w:sz w:val="24"/>
          <w:szCs w:val="24"/>
        </w:rPr>
      </w:pPr>
    </w:p>
    <w:p>
      <w:pPr>
        <w:numPr>
          <w:ilvl w:val="0"/>
          <w:numId w:val="16"/>
        </w:numPr>
        <w:spacing w:line="360" w:lineRule="auto"/>
        <w:ind w:left="425" w:leftChars="0" w:hanging="425" w:firstLineChars="0"/>
        <w:jc w:val="both"/>
        <w:rPr>
          <w:rFonts w:ascii="Times New Roman" w:hAnsi="Times New Roman" w:cs="Times New Roman"/>
          <w:sz w:val="24"/>
          <w:szCs w:val="24"/>
          <w:lang w:val="de-DE"/>
        </w:rPr>
      </w:pPr>
      <w:r>
        <w:rPr>
          <w:rFonts w:ascii="Times New Roman" w:hAnsi="Times New Roman" w:cs="Times New Roman"/>
          <w:b/>
          <w:sz w:val="24"/>
          <w:szCs w:val="24"/>
        </w:rPr>
        <w:t>Pemerintahan Daerah</w:t>
      </w:r>
    </w:p>
    <w:p>
      <w:pPr>
        <w:pStyle w:val="10"/>
        <w:spacing w:after="0"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Dalam memahami keberadaan pemerintahan daerah di Indonesia landasannya adalah Pasal 4 ayat (1) UUD 1945 yang mengatakan bahwa Presiden Republik Indonesia adalah kepala pemerintahan. Dengan ditempatkannya Presiden sebagai kepala pemerintahan, itu berarti bahwa sistem pemerintahan yang dianut adalah sistem pemerintahan presidensial berlaku dalam penyelenggaraan pemerintahan daerah. Sebagai konsekuensi sistem pemerintahan presidensial tersebut, di dalam Pasal 5 ayat (1) UU. 23 Tahun 2014 dikatakan, bahwa :</w:t>
      </w:r>
    </w:p>
    <w:p>
      <w:pPr>
        <w:spacing w:after="0" w:line="240" w:lineRule="auto"/>
        <w:ind w:left="630"/>
        <w:jc w:val="both"/>
        <w:rPr>
          <w:rFonts w:ascii="Times New Roman" w:hAnsi="Times New Roman" w:cs="Times New Roman"/>
          <w:sz w:val="24"/>
          <w:szCs w:val="24"/>
        </w:rPr>
      </w:pPr>
      <w:r>
        <w:rPr>
          <w:rFonts w:ascii="Times New Roman" w:hAnsi="Times New Roman" w:cs="Times New Roman"/>
          <w:sz w:val="24"/>
          <w:szCs w:val="24"/>
        </w:rPr>
        <w:t>“Presiden Republik Indonesia memegang kekuasaan pemerintahan sesuai dengan Undang-Undang Dasar Negara Republik Indonesia Tahun 1945.”</w:t>
      </w:r>
    </w:p>
    <w:p>
      <w:pPr>
        <w:spacing w:after="0" w:line="240" w:lineRule="auto"/>
        <w:ind w:left="630"/>
        <w:jc w:val="both"/>
        <w:rPr>
          <w:rFonts w:ascii="Times New Roman" w:hAnsi="Times New Roman" w:cs="Times New Roman"/>
          <w:sz w:val="24"/>
          <w:szCs w:val="24"/>
        </w:rPr>
      </w:pPr>
    </w:p>
    <w:p>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Selanjutnya di dalam ayat (3) dikatakan, bahwa :</w:t>
      </w:r>
    </w:p>
    <w:p>
      <w:pPr>
        <w:spacing w:line="240" w:lineRule="auto"/>
        <w:ind w:left="630"/>
        <w:jc w:val="both"/>
        <w:rPr>
          <w:rFonts w:ascii="Times New Roman" w:hAnsi="Times New Roman" w:cs="Times New Roman"/>
          <w:sz w:val="24"/>
          <w:szCs w:val="24"/>
        </w:rPr>
      </w:pPr>
      <w:r>
        <w:rPr>
          <w:rFonts w:ascii="Times New Roman" w:hAnsi="Times New Roman" w:cs="Times New Roman"/>
          <w:sz w:val="24"/>
          <w:szCs w:val="24"/>
        </w:rPr>
        <w:t>“Dalam menyelenggarakan Urusan Pemerintahan sebagaimana dimaksud pada ayat (2), Presiden dibantu oleh menteri yang menyelenggarakan Urusan Pemerintahan tertentu.”</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Times New Roman" w:hAnsi="Times New Roman" w:cs="Times New Roman"/>
          <w:sz w:val="24"/>
          <w:szCs w:val="24"/>
        </w:rPr>
      </w:pPr>
      <w:r>
        <w:rPr>
          <w:rFonts w:ascii="Times New Roman" w:hAnsi="Times New Roman" w:cs="Times New Roman"/>
          <w:sz w:val="24"/>
          <w:szCs w:val="24"/>
        </w:rPr>
        <w:t>Pasal 1 angka 2 UU. No. 23 Tahun 2014 kemudian mengatakan bahwa Pemerintahan Daerah adalah penyelenggaraan urusan pemerintahan oleh Pemerintah Daerah dan Dewan Perwakilan Rakyat Daerah menurut asas otonomi dan tugas pembantuan dengan prinsip otonomi seluas-luasnya dalam sistem dan prinsip Negara Kesatuan Republik Indonesia sebagaimana dimaksud dalam UUD 1945.</w:t>
      </w:r>
      <w:r>
        <w:rPr>
          <w:rFonts w:ascii="Times New Roman" w:hAnsi="Times New Roman" w:cs="Times New Roman"/>
          <w:sz w:val="24"/>
          <w:szCs w:val="24"/>
        </w:rPr>
        <w:tab/>
      </w:r>
    </w:p>
    <w:p>
      <w:pPr>
        <w:keepNext w:val="0"/>
        <w:keepLines w:val="0"/>
        <w:pageBreakBefore w:val="0"/>
        <w:widowControl/>
        <w:kinsoku/>
        <w:wordWrap/>
        <w:overflowPunct/>
        <w:topLinePunct w:val="0"/>
        <w:autoSpaceDE/>
        <w:autoSpaceDN/>
        <w:bidi w:val="0"/>
        <w:adjustRightInd/>
        <w:snapToGrid/>
        <w:spacing w:after="0" w:line="360" w:lineRule="auto"/>
        <w:ind w:firstLine="720"/>
        <w:jc w:val="both"/>
        <w:textAlignment w:val="auto"/>
        <w:rPr>
          <w:rFonts w:ascii="Times New Roman" w:hAnsi="Times New Roman" w:cs="Times New Roman"/>
          <w:sz w:val="24"/>
          <w:szCs w:val="24"/>
        </w:rPr>
      </w:pPr>
      <w:r>
        <w:rPr>
          <w:rFonts w:ascii="Times New Roman" w:hAnsi="Times New Roman" w:cs="Times New Roman"/>
          <w:sz w:val="24"/>
          <w:szCs w:val="24"/>
        </w:rPr>
        <w:t xml:space="preserve">Berdasarkan urain di atas tampak bahwa kepala pemerintahan itu di Indonesia adalah Presiden. Sebagai kepala pemerintahan, kebijakan penyelenggaraan pemerintahan berada pada Presiden. Hal itu sesuai dengan ketentuan Pasal 6 UU. No. 23 Tahun 2014 yang mengatakan bahwa Pemerintah Pusat menetapkan kebijakan sebagai dasar dalam menyelenggarakan Urusan Pemerintahan. Dalam Pasal 5 ayat (4) UU. No. 23 Tahun 2014 dikatakan bahwa penyelenggaraan pemerintahan ini didelegasikan kepada pemerintah daerah sebagai penyelenggara pemerintahan di daerah berdasarkan asas Desentralisasi, Dekonsentrasi, dan Tugas Pembantuan. Dengan demikian, Pemerintah Daerah dalam menyelenggarakan pemerintahan di daerah berada di bawah koordinasi Presiden.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Sebagaimana disebutkan di atas bahwa Pemerintahan Daerah dilaksanakan oleh Kepala Daerah dan DPRD. Kepala Daerah dan DPRD berkedudukan sebagai unsur penyelenggara pemerintahan daerah yang diberi mandat oleh rakyat untuk melaksanakan Urusan Pemerintahan yang diserahkan kepada Daerah. Dengan demikian, Kepala Daerah dan DPRD berkedudukan sebagai mitra sejajar yang mempunyai fungsi yang berbeda. DPRD Bersama Kepala Daerah mempunyai fungsi pembentukan Perda. Di samping fungsi tersebut, DPRD juga mempunyai fungsi anggaran dan pengawasan, sedangkan kepala daerah melaksanakan fungsi pelaksanaan atas Perda dan kebijakan Daerah. Dalam mengatur dan mengurus Urusan Pemerintahan yang menjadi kewenangan Daerah tersebut, DPRD dan kepala daerah dibantu oleh Perangkat Daerah. Sebagai konsekuensi posisi DPRD sebagai unsur penyelenggara Pemerintahan Daerah maka susunan, kedudukan, peran, hak, kewajiban, tugas, wewenang, dan fungsi DPRD tidak diatur dalam beberapa Undang-Undang namun cukup diatur dalam Undang-Undang No. 23 Tahun 2014 secara keseluruhan guna memudahkan pengaturannya secara terintegrasi.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Mengingat kondisi geografis yang sangat luas, untuk efektifitas dan efisiensi pembinaan dan pengawasan atas penyelenggaraan Urusan Pemerintahan yang menjadi kewenangan Daerah Kabupaten/Kota, Presiden sebagai penanggung jawab akhir pemerintahan secara keseluruhan melimpahkan kewenangannya kepada Gubernur untuk bertindak atas nama Pemerintah Pusat untuk melakukan pembinaan kepada Daerah Kabupaten/Kota agar melaksanakan otonominya dalam koridor norma, standar, prosedur dan kriteria (NSPK) yang ditetapkan oleh Pemerintah Pusat. Untuk efektifitas pelaksanaan tugasnya selaku wakil Pemerintah Pusat, Gubernur dibantu oleh perangkat Gubernur sebagai Wakil Pemerintah Pusat. Seiring dengan perannya sebagai Wakil Pemerintah Pusat, hubungan Gubernur dengan Pemerintah Daerah Kabupaten/Kota bersifat hierarkis.</w:t>
      </w:r>
    </w:p>
    <w:p>
      <w:pPr>
        <w:spacing w:after="0" w:line="360" w:lineRule="auto"/>
        <w:ind w:firstLine="720"/>
        <w:jc w:val="both"/>
        <w:rPr>
          <w:rFonts w:ascii="Times New Roman" w:hAnsi="Times New Roman" w:cs="Times New Roman"/>
          <w:sz w:val="24"/>
          <w:szCs w:val="24"/>
        </w:rPr>
      </w:pPr>
    </w:p>
    <w:p>
      <w:pPr>
        <w:spacing w:line="480" w:lineRule="auto"/>
        <w:rPr>
          <w:rFonts w:ascii="Times New Roman" w:hAnsi="Times New Roman" w:cs="Times New Roman"/>
          <w:b/>
          <w:sz w:val="24"/>
          <w:szCs w:val="24"/>
        </w:rPr>
      </w:pPr>
    </w:p>
    <w:p>
      <w:pPr>
        <w:spacing w:line="480" w:lineRule="auto"/>
        <w:rPr>
          <w:rFonts w:ascii="Times New Roman" w:hAnsi="Times New Roman" w:cs="Times New Roman"/>
          <w:b/>
          <w:sz w:val="24"/>
          <w:szCs w:val="24"/>
        </w:rPr>
      </w:pPr>
    </w:p>
    <w:p>
      <w:pPr>
        <w:spacing w:line="480" w:lineRule="auto"/>
        <w:jc w:val="center"/>
        <w:rPr>
          <w:rFonts w:ascii="Times New Roman" w:hAnsi="Times New Roman" w:cs="Times New Roman"/>
          <w:b/>
          <w:sz w:val="24"/>
          <w:szCs w:val="24"/>
        </w:rPr>
      </w:pPr>
    </w:p>
    <w:p>
      <w:pPr>
        <w:rPr>
          <w:rFonts w:ascii="Times New Roman" w:hAnsi="Times New Roman" w:cs="Times New Roman"/>
          <w:b/>
          <w:sz w:val="24"/>
          <w:szCs w:val="24"/>
        </w:rPr>
      </w:pPr>
      <w:r>
        <w:rPr>
          <w:rFonts w:ascii="Times New Roman" w:hAnsi="Times New Roman" w:cs="Times New Roman"/>
          <w:b/>
          <w:sz w:val="24"/>
          <w:szCs w:val="24"/>
        </w:rPr>
        <w:br w:type="page"/>
      </w:r>
    </w:p>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B A B  III</w:t>
      </w:r>
    </w:p>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METODE PENELITIAN</w:t>
      </w:r>
    </w:p>
    <w:p>
      <w:pPr>
        <w:spacing w:line="360" w:lineRule="auto"/>
        <w:jc w:val="center"/>
        <w:rPr>
          <w:rFonts w:ascii="Times New Roman" w:hAnsi="Times New Roman" w:cs="Times New Roman"/>
          <w:b/>
          <w:sz w:val="24"/>
          <w:szCs w:val="24"/>
        </w:rPr>
      </w:pPr>
    </w:p>
    <w:p>
      <w:pPr>
        <w:pStyle w:val="10"/>
        <w:numPr>
          <w:ilvl w:val="0"/>
          <w:numId w:val="3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lang w:val="en-US"/>
        </w:rPr>
        <w:t>Spesifikasi Penelitian</w:t>
      </w:r>
    </w:p>
    <w:p>
      <w:pPr>
        <w:spacing w:after="0"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Dalam rangka penelitian ini, penulis menggunakan metode penelitian ilmu hukum yang memiliki karakteristik tertentu. Sesuai dengan tujuan penelitian ini, sifat penelitiannya adalah deskriptif, yaitu dengan cara berusaha memberikan gambaran atau uraian mengenai permasalahan di dalam penelitian ini. Selanjutnya, metode penelitian ini digunakan disesuaikan dengan rumusan masalah yang menjadi </w:t>
      </w:r>
      <w:r>
        <w:rPr>
          <w:rFonts w:ascii="Times New Roman" w:hAnsi="Times New Roman" w:cs="Times New Roman"/>
          <w:sz w:val="24"/>
          <w:szCs w:val="24"/>
          <w:lang w:val="id-ID"/>
        </w:rPr>
        <w:t>fokus</w:t>
      </w:r>
      <w:r>
        <w:rPr>
          <w:rFonts w:ascii="Times New Roman" w:hAnsi="Times New Roman" w:cs="Times New Roman"/>
          <w:sz w:val="24"/>
          <w:szCs w:val="24"/>
        </w:rPr>
        <w:t xml:space="preserve"> penelitian ini, yakni b</w:t>
      </w:r>
      <w:r>
        <w:rPr>
          <w:rFonts w:ascii="Times New Roman" w:hAnsi="Times New Roman" w:cs="Times New Roman"/>
          <w:sz w:val="24"/>
          <w:szCs w:val="24"/>
          <w:lang w:val="sv-SE"/>
        </w:rPr>
        <w:t>agaimana kedudukan Peraturan Daerah dan Peraturan Kepala Daerah dalam sistem hukum nasional dan bagaimana membatalkan Peraturan Daerah dan Peraturan Kepala Daerah setelah terbitnya Putusan Mahkamah Konstitusi</w:t>
      </w:r>
      <w:r>
        <w:rPr>
          <w:rFonts w:ascii="Times New Roman" w:hAnsi="Times New Roman" w:cs="Times New Roman"/>
          <w:sz w:val="24"/>
          <w:szCs w:val="24"/>
        </w:rPr>
        <w:t xml:space="preserve"> No. 137/PUU-XIII/2015</w:t>
      </w:r>
      <w:r>
        <w:rPr>
          <w:rFonts w:ascii="Times New Roman" w:hAnsi="Times New Roman" w:cs="Times New Roman"/>
          <w:sz w:val="24"/>
          <w:szCs w:val="24"/>
          <w:lang w:val="id-ID"/>
        </w:rPr>
        <w:t xml:space="preserve"> serta bagaimana bentuk pe</w:t>
      </w:r>
      <w:r>
        <w:rPr>
          <w:rFonts w:ascii="Times New Roman" w:hAnsi="Times New Roman" w:cs="Times New Roman"/>
          <w:sz w:val="24"/>
          <w:szCs w:val="24"/>
        </w:rPr>
        <w:t>mbinaan Gubernur kepada Pemerintah Daerah Kabupaten/Kota</w:t>
      </w:r>
      <w:r>
        <w:rPr>
          <w:rFonts w:ascii="Times New Roman" w:hAnsi="Times New Roman" w:cs="Times New Roman"/>
          <w:sz w:val="24"/>
          <w:szCs w:val="24"/>
          <w:lang w:val="id-ID"/>
        </w:rPr>
        <w:t xml:space="preserve"> dalam penerbitan Peraturan Daerah </w:t>
      </w:r>
      <w:r>
        <w:rPr>
          <w:rFonts w:ascii="Times New Roman" w:hAnsi="Times New Roman" w:cs="Times New Roman"/>
          <w:sz w:val="24"/>
          <w:szCs w:val="24"/>
        </w:rPr>
        <w:t xml:space="preserve">dan Peraturan Kepala Daerah </w:t>
      </w:r>
      <w:r>
        <w:rPr>
          <w:rFonts w:ascii="Times New Roman" w:hAnsi="Times New Roman" w:cs="Times New Roman"/>
          <w:sz w:val="24"/>
          <w:szCs w:val="24"/>
          <w:lang w:val="id-ID"/>
        </w:rPr>
        <w:t xml:space="preserve">dilakukan setelah terbitnya putusan </w:t>
      </w:r>
      <w:r>
        <w:rPr>
          <w:rFonts w:ascii="Times New Roman" w:hAnsi="Times New Roman" w:cs="Times New Roman"/>
          <w:color w:val="000000"/>
          <w:sz w:val="24"/>
          <w:szCs w:val="24"/>
        </w:rPr>
        <w:t>Mahkamah Konstitusi No. 137/PUU-XIII/201</w:t>
      </w:r>
      <w:r>
        <w:rPr>
          <w:rFonts w:ascii="Times New Roman" w:hAnsi="Times New Roman" w:cs="Times New Roman"/>
          <w:sz w:val="24"/>
          <w:szCs w:val="24"/>
          <w:lang w:val="id-ID"/>
        </w:rPr>
        <w:t xml:space="preserve">5. </w:t>
      </w:r>
      <w:r>
        <w:rPr>
          <w:rFonts w:ascii="Times New Roman" w:hAnsi="Times New Roman" w:cs="Times New Roman"/>
          <w:sz w:val="24"/>
          <w:szCs w:val="24"/>
        </w:rPr>
        <w:t xml:space="preserve">Penegasan ini penting, karena diakui bahwa dalam pembatalan Peraturan Daerah dan Peraturan Kepala Daerah, unsur-unsur lainnya, seperti: politik dan ekonomi memegang peranan penting. </w:t>
      </w:r>
    </w:p>
    <w:p>
      <w:pPr>
        <w:spacing w:after="0" w:line="360" w:lineRule="auto"/>
        <w:ind w:left="360" w:firstLine="360"/>
        <w:jc w:val="both"/>
        <w:rPr>
          <w:rFonts w:ascii="Times New Roman" w:hAnsi="Times New Roman" w:cs="Times New Roman"/>
          <w:sz w:val="24"/>
          <w:szCs w:val="24"/>
          <w:lang w:val="id-ID"/>
        </w:rPr>
      </w:pPr>
    </w:p>
    <w:p>
      <w:pPr>
        <w:pStyle w:val="10"/>
        <w:numPr>
          <w:ilvl w:val="0"/>
          <w:numId w:val="3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lang w:val="en-US"/>
        </w:rPr>
        <w:t>Jenis Penelitian</w:t>
      </w:r>
    </w:p>
    <w:p>
      <w:pPr>
        <w:spacing w:after="0"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Jenis penelitian ini adalah penelitian hukum normatif. </w:t>
      </w:r>
      <w:bookmarkStart w:id="0" w:name="_Hlk511145106"/>
      <w:r>
        <w:rPr>
          <w:rFonts w:ascii="Times New Roman" w:hAnsi="Times New Roman" w:cs="Times New Roman"/>
          <w:sz w:val="24"/>
          <w:szCs w:val="24"/>
        </w:rPr>
        <w:t xml:space="preserve">Data yang diteliti adalah data sekunder berupa bahan hukum primer dan bahan hukum sekunder. Bahan hukum primer adalah segala dokumen resmi yang memuat ketentuan hukum yang diteliti, yakni berbagai peraturan perundang-undangan yang berkaitan dengan </w:t>
      </w:r>
      <w:r>
        <w:rPr>
          <w:rFonts w:ascii="Times New Roman" w:hAnsi="Times New Roman" w:cs="Times New Roman"/>
          <w:sz w:val="24"/>
          <w:szCs w:val="24"/>
          <w:lang w:val="sv-SE"/>
        </w:rPr>
        <w:t>kedudukan Peraturan Daerah dan Peraturan Kepala Daerah dalam sistem hukum nasional dan pembatalan Peraturan Daerah dan Peraturan Kepala daerah setelah terbitnya Putusan Mahkamah Konstitusi</w:t>
      </w:r>
      <w:r>
        <w:rPr>
          <w:rFonts w:ascii="Times New Roman" w:hAnsi="Times New Roman" w:cs="Times New Roman"/>
          <w:sz w:val="24"/>
          <w:szCs w:val="24"/>
        </w:rPr>
        <w:t xml:space="preserve"> No. 137/PUU-XIII/2015. Bahan hukum primer tersebut berupa UUD 1945, UU. No. 12 Tahun 2011 tentang Pembentukan Peraturan Perundang-Undangan, dan UU No. 23 Tahun 2014 tentang Pemerintahan Daerah dan sebagainya.</w:t>
      </w:r>
    </w:p>
    <w:bookmarkEnd w:id="0"/>
    <w:p>
      <w:pPr>
        <w:spacing w:after="0" w:line="360" w:lineRule="auto"/>
        <w:ind w:left="360" w:firstLine="518" w:firstLineChars="0"/>
        <w:jc w:val="both"/>
        <w:rPr>
          <w:rFonts w:ascii="Times New Roman" w:hAnsi="Times New Roman" w:cs="Times New Roman"/>
          <w:sz w:val="24"/>
          <w:szCs w:val="24"/>
        </w:rPr>
      </w:pPr>
      <w:r>
        <w:rPr>
          <w:rFonts w:ascii="Times New Roman" w:hAnsi="Times New Roman" w:cs="Times New Roman"/>
          <w:sz w:val="24"/>
          <w:szCs w:val="24"/>
        </w:rPr>
        <w:t>Bahan hukum sekunder adalah dokumen tidak resmi, berupa bahan hukum yang membantu memberikan penjelasan terhadap bahan hukum primer, seperti rancangan dari bahan hukum primer, hasil-hasil penelitian dan karya para ahli hukum yang memiliki relevansi dengan penelitian ini dan sebagainya.</w:t>
      </w:r>
    </w:p>
    <w:p>
      <w:pPr>
        <w:spacing w:after="0" w:line="360" w:lineRule="auto"/>
        <w:ind w:left="360"/>
        <w:jc w:val="both"/>
        <w:rPr>
          <w:rFonts w:ascii="Times New Roman" w:hAnsi="Times New Roman" w:cs="Times New Roman"/>
          <w:sz w:val="24"/>
          <w:szCs w:val="24"/>
        </w:rPr>
      </w:pPr>
    </w:p>
    <w:p>
      <w:pPr>
        <w:numPr>
          <w:ilvl w:val="0"/>
          <w:numId w:val="32"/>
        </w:numPr>
        <w:spacing w:after="0" w:line="360" w:lineRule="auto"/>
        <w:ind w:left="425" w:leftChars="0" w:hanging="425" w:firstLineChars="0"/>
        <w:jc w:val="both"/>
        <w:rPr>
          <w:rFonts w:ascii="Times New Roman" w:hAnsi="Times New Roman" w:cs="Times New Roman"/>
          <w:b/>
          <w:sz w:val="24"/>
          <w:szCs w:val="24"/>
        </w:rPr>
      </w:pPr>
      <w:r>
        <w:rPr>
          <w:rFonts w:ascii="Times New Roman" w:hAnsi="Times New Roman" w:cs="Times New Roman"/>
          <w:b/>
          <w:sz w:val="24"/>
          <w:szCs w:val="24"/>
        </w:rPr>
        <w:t>Metode Pendekatan</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Metode pendekatan yang digunakan adalah pendekatan perundang-undangan, karena dalam pembatalan Perda tersebut harus sesuai dengan kaidah-kaidah hukum yang berlaku di Indonesia. Tetapi, karena kajian terhadap b</w:t>
      </w:r>
      <w:r>
        <w:rPr>
          <w:rFonts w:ascii="Times New Roman" w:hAnsi="Times New Roman" w:cs="Times New Roman"/>
          <w:sz w:val="24"/>
          <w:szCs w:val="24"/>
          <w:lang w:val="sv-SE"/>
        </w:rPr>
        <w:t>agaimana kedudukan Peraturan Daerah dan Peraturan Kepala Daerah dalam sistem hukum nasional dan bagaimana membatalkan Peraturan Daerah dan Peraturan Kepala Daerah setelah terbitnya Putusan Mahkamah Konstitusi</w:t>
      </w:r>
      <w:r>
        <w:rPr>
          <w:rFonts w:ascii="Times New Roman" w:hAnsi="Times New Roman" w:cs="Times New Roman"/>
          <w:sz w:val="24"/>
          <w:szCs w:val="24"/>
        </w:rPr>
        <w:t xml:space="preserve"> No. 137/PUU-XIII/2015 </w:t>
      </w:r>
      <w:r>
        <w:rPr>
          <w:rFonts w:ascii="Times New Roman" w:hAnsi="Times New Roman" w:cs="Times New Roman"/>
          <w:sz w:val="24"/>
          <w:szCs w:val="24"/>
          <w:lang w:val="id-ID"/>
        </w:rPr>
        <w:t>serta bagaimana bentuk pe</w:t>
      </w:r>
      <w:r>
        <w:rPr>
          <w:rFonts w:ascii="Times New Roman" w:hAnsi="Times New Roman" w:cs="Times New Roman"/>
          <w:sz w:val="24"/>
          <w:szCs w:val="24"/>
        </w:rPr>
        <w:t>mbinaan Gubernur kepada Pemerintah daerah Kabupaten/Kota</w:t>
      </w:r>
      <w:r>
        <w:rPr>
          <w:rFonts w:ascii="Times New Roman" w:hAnsi="Times New Roman" w:cs="Times New Roman"/>
          <w:sz w:val="24"/>
          <w:szCs w:val="24"/>
          <w:lang w:val="id-ID"/>
        </w:rPr>
        <w:t xml:space="preserve"> dalam penerbitan Peraturan Daerah </w:t>
      </w:r>
      <w:r>
        <w:rPr>
          <w:rFonts w:ascii="Times New Roman" w:hAnsi="Times New Roman" w:cs="Times New Roman"/>
          <w:sz w:val="24"/>
          <w:szCs w:val="24"/>
        </w:rPr>
        <w:t xml:space="preserve">dan Peraturan Kepala Daerah </w:t>
      </w:r>
      <w:r>
        <w:rPr>
          <w:rFonts w:ascii="Times New Roman" w:hAnsi="Times New Roman" w:cs="Times New Roman"/>
          <w:sz w:val="24"/>
          <w:szCs w:val="24"/>
          <w:lang w:val="id-ID"/>
        </w:rPr>
        <w:t xml:space="preserve">dilakukan setelah terbitnya putusan </w:t>
      </w:r>
      <w:r>
        <w:rPr>
          <w:rFonts w:ascii="Times New Roman" w:hAnsi="Times New Roman" w:cs="Times New Roman"/>
          <w:color w:val="000000"/>
          <w:sz w:val="24"/>
          <w:szCs w:val="24"/>
        </w:rPr>
        <w:t>Mahkamah Konstitusi No. 137/PUU-XIII/201</w:t>
      </w:r>
      <w:r>
        <w:rPr>
          <w:rFonts w:ascii="Times New Roman" w:hAnsi="Times New Roman" w:cs="Times New Roman"/>
          <w:sz w:val="24"/>
          <w:szCs w:val="24"/>
          <w:lang w:val="id-ID"/>
        </w:rPr>
        <w:t xml:space="preserve">5 </w:t>
      </w:r>
      <w:r>
        <w:rPr>
          <w:rFonts w:ascii="Times New Roman" w:hAnsi="Times New Roman" w:cs="Times New Roman"/>
          <w:sz w:val="24"/>
          <w:szCs w:val="24"/>
        </w:rPr>
        <w:t>sebagai kaidah dan norma hukum merupakan permasalahan hukum yang bersifat normatif namun tidak bisa dipisahkan dari masalah politik, ekonomi, dan sebagainya, pendekatan yuridis-analitis tetap merupakan titik berat penelitian ini.</w:t>
      </w:r>
    </w:p>
    <w:p>
      <w:pPr>
        <w:spacing w:after="0" w:line="360" w:lineRule="auto"/>
        <w:ind w:firstLine="720"/>
        <w:jc w:val="both"/>
        <w:rPr>
          <w:rFonts w:ascii="Times New Roman" w:hAnsi="Times New Roman" w:cs="Times New Roman"/>
          <w:b/>
          <w:sz w:val="24"/>
          <w:szCs w:val="24"/>
        </w:rPr>
      </w:pPr>
    </w:p>
    <w:p>
      <w:pPr>
        <w:numPr>
          <w:ilvl w:val="0"/>
          <w:numId w:val="32"/>
        </w:numPr>
        <w:spacing w:after="0" w:line="360" w:lineRule="auto"/>
        <w:ind w:left="425" w:leftChars="0" w:hanging="425" w:firstLineChars="0"/>
        <w:jc w:val="both"/>
        <w:rPr>
          <w:rFonts w:ascii="Times New Roman" w:hAnsi="Times New Roman" w:cs="Times New Roman"/>
          <w:b/>
          <w:sz w:val="24"/>
          <w:szCs w:val="24"/>
        </w:rPr>
      </w:pPr>
      <w:r>
        <w:rPr>
          <w:rFonts w:ascii="Times New Roman" w:hAnsi="Times New Roman" w:cs="Times New Roman"/>
          <w:b/>
          <w:sz w:val="24"/>
          <w:szCs w:val="24"/>
        </w:rPr>
        <w:t>Teknik Pengumpulan Data</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Teknik pengumpulan data dilakukan dengan studi dokumen,yakni melakukan penelusuran terhadap data sekunder berupa dokumen resmi sebagai bahan hukum primer. Dokumen resmi berupa peraturan perundang-undangan yang ada kaitannya dengan pembatalan Peraturan Daerah. </w:t>
      </w:r>
      <w:r>
        <w:rPr>
          <w:rFonts w:ascii="Times New Roman" w:hAnsi="Times New Roman" w:cs="Times New Roman"/>
          <w:sz w:val="24"/>
          <w:szCs w:val="24"/>
          <w:lang w:val="id-ID"/>
        </w:rPr>
        <w:t>Akhirnya</w:t>
      </w:r>
      <w:r>
        <w:rPr>
          <w:rFonts w:ascii="Times New Roman" w:hAnsi="Times New Roman" w:cs="Times New Roman"/>
          <w:sz w:val="24"/>
          <w:szCs w:val="24"/>
        </w:rPr>
        <w:t xml:space="preserve">, dari dokumen resmi yang ditelusuri dan dikumpulkan tersebut, dipilih sampel yang benar-benar mencerminkan ciri dan sifat dari populasi yang sudah dikenal atau diidentifikasi sebelumnya. </w:t>
      </w:r>
    </w:p>
    <w:p>
      <w:pPr>
        <w:spacing w:after="0" w:line="360" w:lineRule="auto"/>
        <w:ind w:firstLine="720"/>
        <w:jc w:val="both"/>
        <w:rPr>
          <w:rFonts w:ascii="Times New Roman" w:hAnsi="Times New Roman" w:cs="Times New Roman"/>
          <w:sz w:val="24"/>
          <w:szCs w:val="24"/>
        </w:rPr>
      </w:pPr>
    </w:p>
    <w:p>
      <w:pPr>
        <w:numPr>
          <w:ilvl w:val="0"/>
          <w:numId w:val="32"/>
        </w:numPr>
        <w:spacing w:after="0" w:line="360" w:lineRule="auto"/>
        <w:ind w:left="425" w:leftChars="0" w:hanging="425" w:firstLineChars="0"/>
        <w:jc w:val="both"/>
        <w:rPr>
          <w:rFonts w:ascii="Times New Roman" w:hAnsi="Times New Roman" w:cs="Times New Roman"/>
          <w:b/>
          <w:sz w:val="24"/>
          <w:szCs w:val="24"/>
        </w:rPr>
      </w:pPr>
      <w:r>
        <w:rPr>
          <w:rFonts w:ascii="Times New Roman" w:hAnsi="Times New Roman" w:cs="Times New Roman"/>
          <w:b/>
          <w:sz w:val="24"/>
          <w:szCs w:val="24"/>
        </w:rPr>
        <w:t>Metode Analisis Data</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Bahan penelitian berupa bahan hukum yang telah dikumpulkan tersebut, selanjutnya diolah dan dianalisis secara kualitatif berwujud kata-kata dan tidak berwujud angka-angka. Dengan analisis tersebut, langkah-langkah yang ditempuh didasarkan atas langkah-langkah berpikir secara runtun dan runtut untuk memperoleh jawaban atas masalah-masalah yang dijadikan titik pangkal penelitian ini. Instrument analisis yang digunakan adalah metode interpretasi (penafsiran), sebagaimana lazimnya digunakan dalam penelitian ilmu hukum, khususnya penelitian hukum normatif, seperti metode interpretasi gramatikal, sistematis, historis, teleologis, dan lain-lain.</w:t>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259" w:lineRule="auto"/>
        <w:rPr>
          <w:rFonts w:ascii="Times New Roman" w:hAnsi="Times New Roman" w:cs="Times New Roman"/>
          <w:b/>
          <w:sz w:val="24"/>
          <w:szCs w:val="24"/>
        </w:rPr>
      </w:pPr>
      <w:r>
        <w:rPr>
          <w:rFonts w:ascii="Times New Roman" w:hAnsi="Times New Roman" w:cs="Times New Roman"/>
          <w:b/>
          <w:sz w:val="24"/>
          <w:szCs w:val="24"/>
        </w:rPr>
        <w:br w:type="page"/>
      </w:r>
    </w:p>
    <w:p>
      <w:pPr>
        <w:spacing w:line="360" w:lineRule="auto"/>
        <w:jc w:val="center"/>
        <w:rPr>
          <w:rFonts w:ascii="Times New Roman" w:hAnsi="Times New Roman" w:cs="Times New Roman"/>
          <w:b/>
          <w:sz w:val="24"/>
          <w:szCs w:val="24"/>
        </w:rPr>
      </w:pPr>
      <w:r>
        <w:rPr>
          <w:rFonts w:ascii="Times New Roman" w:hAnsi="Times New Roman" w:cs="Times New Roman"/>
          <w:b/>
          <w:sz w:val="24"/>
          <w:szCs w:val="24"/>
        </w:rPr>
        <w:t>B A B IV</w:t>
      </w:r>
    </w:p>
    <w:p>
      <w:pPr>
        <w:spacing w:line="360" w:lineRule="auto"/>
        <w:ind w:left="360"/>
        <w:jc w:val="center"/>
        <w:rPr>
          <w:rFonts w:ascii="Times New Roman" w:hAnsi="Times New Roman" w:cs="Times New Roman"/>
          <w:b/>
          <w:sz w:val="24"/>
          <w:szCs w:val="24"/>
        </w:rPr>
      </w:pPr>
      <w:r>
        <w:rPr>
          <w:rFonts w:ascii="Times New Roman" w:hAnsi="Times New Roman" w:cs="Times New Roman"/>
          <w:b/>
          <w:sz w:val="24"/>
          <w:szCs w:val="24"/>
        </w:rPr>
        <w:t>PEMBATALAN PERATURAN DAERAH DAN PERATURAN KEPALA DAERAH SETELAH PUTUSAN MAHKAMAH KONSTITUSI NOMOR 137/PUU-XIII/2015</w:t>
      </w:r>
    </w:p>
    <w:p>
      <w:pPr>
        <w:spacing w:line="360" w:lineRule="auto"/>
        <w:ind w:left="360"/>
        <w:jc w:val="center"/>
        <w:rPr>
          <w:rFonts w:ascii="Times New Roman" w:hAnsi="Times New Roman" w:cs="Times New Roman"/>
          <w:b/>
          <w:sz w:val="24"/>
          <w:szCs w:val="24"/>
        </w:rPr>
      </w:pPr>
    </w:p>
    <w:p>
      <w:pPr>
        <w:pStyle w:val="10"/>
        <w:numPr>
          <w:ilvl w:val="0"/>
          <w:numId w:val="33"/>
        </w:numPr>
        <w:spacing w:after="0" w:line="360" w:lineRule="auto"/>
        <w:ind w:left="425" w:leftChars="0" w:hanging="425" w:firstLineChars="0"/>
        <w:jc w:val="both"/>
        <w:rPr>
          <w:rFonts w:ascii="Times New Roman" w:hAnsi="Times New Roman" w:cs="Times New Roman"/>
          <w:b/>
          <w:sz w:val="24"/>
          <w:szCs w:val="24"/>
          <w:lang w:val="sv-SE"/>
        </w:rPr>
      </w:pPr>
      <w:r>
        <w:rPr>
          <w:rFonts w:ascii="Times New Roman" w:hAnsi="Times New Roman" w:cs="Times New Roman"/>
          <w:b/>
          <w:sz w:val="24"/>
          <w:szCs w:val="24"/>
          <w:lang w:val="sv-SE"/>
        </w:rPr>
        <w:t>Kedudukan Peraturan Daerah dan Peraturan Kepala Daerah Dalam Sistem Hukum Nasional</w:t>
      </w:r>
    </w:p>
    <w:p>
      <w:pPr>
        <w:spacing w:after="0" w:line="360" w:lineRule="auto"/>
        <w:ind w:firstLine="720"/>
        <w:jc w:val="both"/>
        <w:rPr>
          <w:rFonts w:ascii="Times New Roman" w:hAnsi="Times New Roman" w:cs="Times New Roman"/>
          <w:sz w:val="24"/>
          <w:szCs w:val="24"/>
          <w:lang w:val="sv-SE"/>
        </w:rPr>
      </w:pPr>
      <w:r>
        <w:rPr>
          <w:rFonts w:ascii="Times New Roman" w:hAnsi="Times New Roman" w:cs="Times New Roman"/>
          <w:sz w:val="24"/>
          <w:szCs w:val="24"/>
          <w:lang w:val="sv-SE"/>
        </w:rPr>
        <w:t>Sebagaimana disebut dalam Pasal 18 ayat (6) UUD 1945, bahwa Pemerintah Daerah berhak menetapkan Peraturan Daerah dan peraturan-peraturan lain untuk melaksanakan otonomi dan tugas pembantuan. Berdasarkan Pasal 18 ayat (6) UUD 1945 ini, tampak bahwa penerbitan Perda dan Perkada mempunyai landasan konstitusional.</w:t>
      </w:r>
    </w:p>
    <w:p>
      <w:pPr>
        <w:spacing w:after="0" w:line="360" w:lineRule="auto"/>
        <w:ind w:firstLine="720"/>
        <w:jc w:val="both"/>
        <w:rPr>
          <w:rFonts w:ascii="Times New Roman" w:hAnsi="Times New Roman" w:cs="Times New Roman"/>
          <w:sz w:val="24"/>
          <w:szCs w:val="24"/>
          <w:lang w:val="sv-SE"/>
        </w:rPr>
      </w:pPr>
      <w:r>
        <w:rPr>
          <w:rFonts w:ascii="Times New Roman" w:hAnsi="Times New Roman" w:cs="Times New Roman"/>
          <w:sz w:val="24"/>
          <w:szCs w:val="24"/>
          <w:lang w:val="sv-SE"/>
        </w:rPr>
        <w:t>Untuk mengetahui kedudukan Peraturan Daerah dalam sistem hukum nasional dapat merujuk kepada ketentuan Pasal 7 ayat (1) UU. No. 12 Tahun 2011. Dalam tata urutan tersebut Peraturan Daerah Provinsi ditempatkan pada urutan keenam, dan Peraturan Daerah Kabupaten/Kota ditempatkan dalam urutan ketujuh. Tata uratan tersebut mempunyai arti hukum, yakni : bahwa  peraturan yang lebih rendah tidak boleh bertentangan dengan peraturan yang lebih tinggi derazatnya. Sebab, seperti dikatakan oleh Hans Kelsen, bahwa :</w:t>
      </w:r>
    </w:p>
    <w:p>
      <w:pPr>
        <w:spacing w:after="0" w:line="240" w:lineRule="auto"/>
        <w:ind w:left="426"/>
        <w:jc w:val="both"/>
        <w:rPr>
          <w:rFonts w:ascii="Times New Roman" w:hAnsi="Times New Roman" w:cs="Times New Roman"/>
          <w:i/>
          <w:sz w:val="24"/>
          <w:szCs w:val="24"/>
          <w:lang w:val="sv-SE"/>
        </w:rPr>
      </w:pPr>
      <w:r>
        <w:rPr>
          <w:rFonts w:ascii="Times New Roman" w:hAnsi="Times New Roman" w:cs="Times New Roman"/>
          <w:i/>
          <w:sz w:val="24"/>
          <w:szCs w:val="24"/>
          <w:lang w:val="sv-SE"/>
        </w:rPr>
        <w:t>”The validity of legal norms may be limited in time, and it is important to notice that the end as well as the beginning of this validity is determinned only by the order to wich they belong. They remain valid as long as they have not been invaidatet in the way which the legal order it self”.</w:t>
      </w:r>
      <w:r>
        <w:rPr>
          <w:rStyle w:val="6"/>
          <w:rFonts w:ascii="Times New Roman" w:hAnsi="Times New Roman" w:cs="Times New Roman"/>
          <w:i/>
          <w:sz w:val="24"/>
          <w:szCs w:val="24"/>
          <w:lang w:val="sv-SE"/>
        </w:rPr>
        <w:footnoteReference w:id="39"/>
      </w:r>
    </w:p>
    <w:p>
      <w:pPr>
        <w:spacing w:after="0" w:line="240" w:lineRule="auto"/>
        <w:ind w:left="426"/>
        <w:jc w:val="both"/>
        <w:rPr>
          <w:rFonts w:ascii="Times New Roman" w:hAnsi="Times New Roman" w:cs="Times New Roman"/>
          <w:i/>
          <w:sz w:val="24"/>
          <w:szCs w:val="24"/>
          <w:lang w:val="sv-SE"/>
        </w:rPr>
      </w:pP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 xml:space="preserve">Oleh karena itu, di dalam ayat (2) disebutkan bahwa kekuatan hukum peraturan Perundang-undangan sesuai dengan hiearkhi sebagaimana dimaksud pada ayat (1). </w:t>
      </w:r>
    </w:p>
    <w:p>
      <w:pPr>
        <w:spacing w:after="0" w:line="360" w:lineRule="auto"/>
        <w:ind w:firstLine="360"/>
        <w:jc w:val="both"/>
        <w:rPr>
          <w:rFonts w:ascii="Times New Roman" w:hAnsi="Times New Roman" w:cs="Times New Roman"/>
          <w:sz w:val="24"/>
          <w:szCs w:val="24"/>
          <w:lang w:val="sv-SE"/>
        </w:rPr>
      </w:pPr>
      <w:r>
        <w:rPr>
          <w:rFonts w:ascii="Times New Roman" w:hAnsi="Times New Roman" w:cs="Times New Roman"/>
          <w:sz w:val="24"/>
          <w:szCs w:val="24"/>
          <w:lang w:val="sv-SE"/>
        </w:rPr>
        <w:t xml:space="preserve"> </w:t>
      </w:r>
      <w:r>
        <w:rPr>
          <w:rFonts w:ascii="Times New Roman" w:hAnsi="Times New Roman" w:cs="Times New Roman"/>
          <w:sz w:val="24"/>
          <w:szCs w:val="24"/>
          <w:lang w:val="id-ID"/>
        </w:rPr>
        <w:t xml:space="preserve">Penempatan UUD 1945 sebagai hukum tertinggi dalam peraturan perundang-undangan di Indonesia tentu mengandung pengertian hukum. Pengertian hukum tersebut adalah bahwa baik tata cara maupun materi  muatan   peraturan   perundang-undangan  tingkat  lebih  rendah  tidak  boleh bertentangan dengan UUD 1945. Apabila UUD 1945 menentukan suatu materi muatan peraturan perundang-undangan diatur dengan bentuk peraturan perundang-undangan tertentu, tidak boleh diatur dengan bentuk peraturan perundang-undangan lain. Kalau UUD 1945 menyatakan suatu materi muatan peraturan perundang-undangan diatur dengan Undang-Undang,  tidak boleh diatur </w:t>
      </w:r>
      <w:r>
        <w:rPr>
          <w:rFonts w:ascii="Times New Roman" w:hAnsi="Times New Roman" w:cs="Times New Roman"/>
          <w:sz w:val="24"/>
          <w:szCs w:val="24"/>
        </w:rPr>
        <w:t xml:space="preserve">dengan </w:t>
      </w:r>
      <w:r>
        <w:rPr>
          <w:rFonts w:ascii="Times New Roman" w:hAnsi="Times New Roman" w:cs="Times New Roman"/>
          <w:sz w:val="24"/>
          <w:szCs w:val="24"/>
          <w:lang w:val="id-ID"/>
        </w:rPr>
        <w:t>bentuk peraturan perundang-undangan lainnya. Berdasarkan pengertian hukum tersebut, setiap peraturan perundang-undangan yang tingkatnya lebih rendah tidak boleh bertentangan dengan ketentuan peraturan yang tingkatnya lebih tinggi. Apabila ada peraturan perundang-undangan yang tingkatnya lebih rendah bertentangan atau tidak sesuai dengan maksud UUD 1945, peraturan perundang-undangan tersebut dapat dinyatakan batal (</w:t>
      </w:r>
      <w:r>
        <w:rPr>
          <w:rFonts w:ascii="Times New Roman" w:hAnsi="Times New Roman" w:cs="Times New Roman"/>
          <w:i/>
          <w:sz w:val="24"/>
          <w:szCs w:val="24"/>
          <w:lang w:val="id-ID"/>
        </w:rPr>
        <w:t>vernietigbaar</w:t>
      </w:r>
      <w:r>
        <w:rPr>
          <w:rFonts w:ascii="Times New Roman" w:hAnsi="Times New Roman" w:cs="Times New Roman"/>
          <w:sz w:val="24"/>
          <w:szCs w:val="24"/>
          <w:lang w:val="id-ID"/>
        </w:rPr>
        <w:t>).</w:t>
      </w:r>
      <w:r>
        <w:rPr>
          <w:rStyle w:val="6"/>
          <w:rFonts w:ascii="Times New Roman" w:hAnsi="Times New Roman" w:cs="Times New Roman"/>
          <w:sz w:val="24"/>
          <w:szCs w:val="24"/>
        </w:rPr>
        <w:footnoteReference w:id="40"/>
      </w:r>
      <w:r>
        <w:rPr>
          <w:rFonts w:ascii="Times New Roman" w:hAnsi="Times New Roman" w:cs="Times New Roman"/>
          <w:sz w:val="24"/>
          <w:szCs w:val="24"/>
        </w:rPr>
        <w:t xml:space="preserve"> Ketentuan ini sesuatu yang sudah lazim dianut dalam pembentukan peraturan perundang-undangan bagi negara yang mengklaim dirinya sebagai negara hukum.</w:t>
      </w:r>
      <w:r>
        <w:rPr>
          <w:rFonts w:ascii="Times New Roman" w:hAnsi="Times New Roman" w:cs="Times New Roman"/>
          <w:sz w:val="24"/>
          <w:szCs w:val="24"/>
          <w:lang w:val="id-ID"/>
        </w:rPr>
        <w:t xml:space="preserve">  </w:t>
      </w:r>
    </w:p>
    <w:p>
      <w:pPr>
        <w:spacing w:after="0" w:line="360" w:lineRule="auto"/>
        <w:ind w:firstLine="720"/>
        <w:jc w:val="both"/>
        <w:rPr>
          <w:rFonts w:ascii="Times New Roman" w:hAnsi="Times New Roman" w:cs="Times New Roman"/>
          <w:sz w:val="24"/>
          <w:szCs w:val="24"/>
          <w:lang w:val="sv-SE"/>
        </w:rPr>
      </w:pPr>
      <w:r>
        <w:rPr>
          <w:rFonts w:ascii="Times New Roman" w:hAnsi="Times New Roman" w:cs="Times New Roman"/>
          <w:sz w:val="24"/>
          <w:szCs w:val="24"/>
          <w:lang w:val="sv-SE"/>
        </w:rPr>
        <w:t xml:space="preserve">Apabila uraian di atas diperhatikan tampak bahwa Peraturan Daerah dan Perkada itu merupakan bagian dari sistem hukum yang berlaku di Indonesia.  Sebagai bagian dari sistem hukum nasional, ia dianggap syah dan dijadikan sebagai landasan dalam penyelenggaraan pemerintahan di daerah. Tetapi, materi muatannya tidak boleh bertentangan dengan peraturan yang lebih tinggi derajatnya, serta harus tunduk pada asas dan ketentuan pembentukan peraturan perundang-undangan. </w:t>
      </w:r>
    </w:p>
    <w:p>
      <w:pPr>
        <w:spacing w:after="0" w:line="360" w:lineRule="auto"/>
        <w:ind w:firstLine="720"/>
        <w:jc w:val="both"/>
        <w:rPr>
          <w:rFonts w:ascii="Times New Roman" w:hAnsi="Times New Roman" w:cs="Times New Roman"/>
          <w:sz w:val="24"/>
          <w:szCs w:val="24"/>
          <w:lang w:val="sv-SE"/>
        </w:rPr>
      </w:pPr>
      <w:r>
        <w:rPr>
          <w:rFonts w:ascii="Times New Roman" w:hAnsi="Times New Roman" w:cs="Times New Roman"/>
          <w:sz w:val="24"/>
          <w:szCs w:val="24"/>
          <w:lang w:val="sv-SE"/>
        </w:rPr>
        <w:t>Bertalian dengan materi muatan Peraturan Daerah, di dalam Pasal 14 UU. No. 12 Tahun 2011 dikatakan, bahwa :</w:t>
      </w:r>
    </w:p>
    <w:p>
      <w:pPr>
        <w:spacing w:after="0" w:line="240" w:lineRule="auto"/>
        <w:ind w:left="810"/>
        <w:jc w:val="both"/>
        <w:rPr>
          <w:rFonts w:ascii="Times New Roman" w:hAnsi="Times New Roman" w:cs="Times New Roman"/>
          <w:sz w:val="24"/>
          <w:szCs w:val="24"/>
          <w:lang w:val="sv-SE"/>
        </w:rPr>
      </w:pPr>
      <w:r>
        <w:rPr>
          <w:rFonts w:ascii="Times New Roman" w:hAnsi="Times New Roman" w:cs="Times New Roman"/>
          <w:sz w:val="24"/>
          <w:szCs w:val="24"/>
          <w:lang w:val="sv-SE"/>
        </w:rPr>
        <w:t>”Materi muatan Peraturan Daerah Provinsi dan Peraturan Daerah Kabupaten/Kota berisi muatan dalam rangka penyelenggaraan otonomi daerah dan tugas pembantuan serta menanggung kondisi khusus daerah dan/atau penjabaran lebih lanjut Peraturan Perundang-undangan yang lebih tinggi.”</w:t>
      </w:r>
    </w:p>
    <w:p>
      <w:pPr>
        <w:spacing w:after="0" w:line="240" w:lineRule="auto"/>
        <w:jc w:val="both"/>
        <w:rPr>
          <w:rFonts w:ascii="Times New Roman" w:hAnsi="Times New Roman" w:cs="Times New Roman"/>
          <w:sz w:val="24"/>
          <w:szCs w:val="24"/>
          <w:lang w:val="sv-SE"/>
        </w:rPr>
      </w:pP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Apa yang dimaksud dengan Otonomi Daerah dalam Pasal 1 angka 6 UU. No. 23 Tahun 2014 dikatakan, bahwa :</w:t>
      </w:r>
    </w:p>
    <w:p>
      <w:pPr>
        <w:spacing w:after="0" w:line="240" w:lineRule="auto"/>
        <w:jc w:val="both"/>
        <w:rPr>
          <w:rFonts w:ascii="Times New Roman" w:hAnsi="Times New Roman" w:cs="Times New Roman"/>
          <w:sz w:val="24"/>
          <w:szCs w:val="24"/>
          <w:lang w:val="sv-SE"/>
        </w:rPr>
      </w:pPr>
    </w:p>
    <w:p>
      <w:pPr>
        <w:spacing w:after="0" w:line="240" w:lineRule="auto"/>
        <w:ind w:left="900"/>
        <w:jc w:val="both"/>
        <w:rPr>
          <w:rFonts w:ascii="Times New Roman" w:hAnsi="Times New Roman" w:cs="Times New Roman"/>
          <w:sz w:val="24"/>
          <w:szCs w:val="24"/>
          <w:lang w:val="sv-SE"/>
        </w:rPr>
      </w:pPr>
      <w:r>
        <w:rPr>
          <w:rFonts w:ascii="Times New Roman" w:hAnsi="Times New Roman" w:cs="Times New Roman"/>
          <w:sz w:val="24"/>
          <w:szCs w:val="24"/>
          <w:lang w:val="sv-SE"/>
        </w:rPr>
        <w:t>”Otonomi Daerah adalah hak, wewenang dan kewajiban daerah otonom untuk mengatur dan mengurus sendiri urusan pemerintahan dan kepentingan masyarakat setempat dalam sistem  Negara Kesatuan Republik Indonesia.”</w:t>
      </w:r>
    </w:p>
    <w:p>
      <w:pPr>
        <w:spacing w:after="0" w:line="240" w:lineRule="auto"/>
        <w:jc w:val="both"/>
        <w:rPr>
          <w:rFonts w:ascii="Times New Roman" w:hAnsi="Times New Roman" w:cs="Times New Roman"/>
          <w:sz w:val="24"/>
          <w:szCs w:val="24"/>
          <w:lang w:val="sv-SE"/>
        </w:rPr>
      </w:pPr>
    </w:p>
    <w:p>
      <w:pPr>
        <w:spacing w:after="0" w:line="240" w:lineRule="auto"/>
        <w:jc w:val="both"/>
        <w:rPr>
          <w:rFonts w:ascii="Times New Roman" w:hAnsi="Times New Roman" w:cs="Times New Roman"/>
          <w:sz w:val="24"/>
          <w:szCs w:val="24"/>
          <w:lang w:val="sv-SE"/>
        </w:rPr>
      </w:pPr>
      <w:r>
        <w:rPr>
          <w:rFonts w:ascii="Times New Roman" w:hAnsi="Times New Roman" w:cs="Times New Roman"/>
          <w:sz w:val="24"/>
          <w:szCs w:val="24"/>
          <w:lang w:val="sv-SE"/>
        </w:rPr>
        <w:t>Dalam angka 11 kemudian dikatakan, bahwa :</w:t>
      </w:r>
    </w:p>
    <w:p>
      <w:pPr>
        <w:spacing w:after="0" w:line="240" w:lineRule="auto"/>
        <w:jc w:val="both"/>
        <w:rPr>
          <w:rFonts w:ascii="Times New Roman" w:hAnsi="Times New Roman" w:cs="Times New Roman"/>
          <w:sz w:val="24"/>
          <w:szCs w:val="24"/>
          <w:lang w:val="sv-SE"/>
        </w:rPr>
      </w:pPr>
    </w:p>
    <w:p>
      <w:pPr>
        <w:spacing w:after="0" w:line="240" w:lineRule="auto"/>
        <w:ind w:left="900"/>
        <w:jc w:val="both"/>
        <w:rPr>
          <w:rFonts w:ascii="Times New Roman" w:hAnsi="Times New Roman" w:cs="Times New Roman"/>
          <w:sz w:val="24"/>
          <w:szCs w:val="24"/>
          <w:lang w:val="sv-SE"/>
        </w:rPr>
      </w:pPr>
      <w:r>
        <w:rPr>
          <w:rFonts w:ascii="Times New Roman" w:hAnsi="Times New Roman" w:cs="Times New Roman"/>
          <w:sz w:val="24"/>
          <w:szCs w:val="24"/>
          <w:lang w:val="sv-SE"/>
        </w:rPr>
        <w:t>”Tugas Pembantuan adalah penugasan dari Pemerintah Pusat kepada daerah otonom untuk melaksanakan sebagian Urusan Pemerintahan yang menjadi kewenangan Pemerintah Pusat atau dari Pemerintah Daerah provinsi kepada Daerah Kabupaten/Kota untuk melaksanakan sebagian Pemerintahan  yang menjadi kewenangan Daerah provinsi.”</w:t>
      </w:r>
    </w:p>
    <w:p>
      <w:pPr>
        <w:spacing w:after="0" w:line="240" w:lineRule="auto"/>
        <w:jc w:val="both"/>
        <w:rPr>
          <w:rFonts w:ascii="Times New Roman" w:hAnsi="Times New Roman" w:cs="Times New Roman"/>
          <w:sz w:val="24"/>
          <w:szCs w:val="24"/>
          <w:lang w:val="sv-SE"/>
        </w:rPr>
      </w:pP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Berdasarkan materi muatan sebagaimana disebutkan di atas, di dalam Pasal 250 ayat (1) UU. No. 23 Tahun 2014 dikatakan</w:t>
      </w:r>
      <w:r>
        <w:rPr>
          <w:rFonts w:ascii="Times New Roman" w:hAnsi="Times New Roman" w:cs="Times New Roman"/>
          <w:sz w:val="24"/>
          <w:szCs w:val="24"/>
        </w:rPr>
        <w:t>, bahwa :</w:t>
      </w:r>
    </w:p>
    <w:p>
      <w:pPr>
        <w:pStyle w:val="10"/>
        <w:numPr>
          <w:ilvl w:val="0"/>
          <w:numId w:val="3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Perda dan Perkada sebagaimana dimaksud dalam Pasal 249 ayat (1) dan ayat (3) dilarang bertentangan dengan ketentuan peraturan perundang-undangan yang lebih tinggi, kepentingan umum, dan/atau kesusilaan.</w:t>
      </w:r>
    </w:p>
    <w:p>
      <w:pPr>
        <w:pStyle w:val="10"/>
        <w:numPr>
          <w:ilvl w:val="0"/>
          <w:numId w:val="3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Bertentangan dengan kepentingan umum sebagaimana dimaksud pada ayat (1) meliputi:</w:t>
      </w:r>
    </w:p>
    <w:p>
      <w:pPr>
        <w:pStyle w:val="10"/>
        <w:numPr>
          <w:ilvl w:val="1"/>
          <w:numId w:val="3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terganggunya kerukunan antarwarga masyarakat;</w:t>
      </w:r>
    </w:p>
    <w:p>
      <w:pPr>
        <w:pStyle w:val="10"/>
        <w:numPr>
          <w:ilvl w:val="1"/>
          <w:numId w:val="3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terganggunya akses terhadap pelayanan publik;</w:t>
      </w:r>
    </w:p>
    <w:p>
      <w:pPr>
        <w:pStyle w:val="10"/>
        <w:numPr>
          <w:ilvl w:val="1"/>
          <w:numId w:val="3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terganggunya ketenteraman dan ketertiban umum;</w:t>
      </w:r>
    </w:p>
    <w:p>
      <w:pPr>
        <w:pStyle w:val="10"/>
        <w:numPr>
          <w:ilvl w:val="1"/>
          <w:numId w:val="3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terganggunya kegiatan ekonomi untuk meningkatkan kesejahteraan masyarakat dan/atau</w:t>
      </w:r>
    </w:p>
    <w:p>
      <w:pPr>
        <w:pStyle w:val="10"/>
        <w:numPr>
          <w:ilvl w:val="1"/>
          <w:numId w:val="34"/>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diskriminasi terhadap suku, agama dan kepercayaan, ras, antar-golongan, dan gender.</w:t>
      </w: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 xml:space="preserve">Apa yang disebutkan dalam ketentuan di atas adalah dalam kerangka penegasan bahwa Perda sebagai bagian dari sistem hukum nasional, materi muatannya dilarang bertentangan dengan ketentuan peraturan perundang-undangan yang lebih tinggi, kepentingan umum, dan/atau kesusilaan. Ketentuan tersebut menjadi kaidah penuntun dalam pembentukan Perda dan Perkada. </w:t>
      </w:r>
    </w:p>
    <w:p>
      <w:pPr>
        <w:spacing w:after="0" w:line="360" w:lineRule="auto"/>
        <w:jc w:val="both"/>
        <w:rPr>
          <w:rFonts w:ascii="Times New Roman" w:hAnsi="Times New Roman" w:cs="Times New Roman"/>
          <w:sz w:val="24"/>
          <w:szCs w:val="24"/>
          <w:lang w:val="sv-SE"/>
        </w:rPr>
      </w:pPr>
    </w:p>
    <w:p>
      <w:pPr>
        <w:keepNext w:val="0"/>
        <w:keepLines w:val="0"/>
        <w:pageBreakBefore w:val="0"/>
        <w:widowControl/>
        <w:numPr>
          <w:ilvl w:val="0"/>
          <w:numId w:val="33"/>
        </w:numPr>
        <w:kinsoku/>
        <w:wordWrap/>
        <w:overflowPunct/>
        <w:topLinePunct w:val="0"/>
        <w:autoSpaceDE/>
        <w:autoSpaceDN/>
        <w:bidi w:val="0"/>
        <w:adjustRightInd/>
        <w:snapToGrid/>
        <w:spacing w:after="0" w:line="360" w:lineRule="auto"/>
        <w:ind w:left="425" w:leftChars="0" w:hanging="425" w:firstLineChars="0"/>
        <w:jc w:val="both"/>
        <w:textAlignment w:val="auto"/>
        <w:rPr>
          <w:rFonts w:ascii="Times New Roman" w:hAnsi="Times New Roman" w:cs="Times New Roman"/>
          <w:b/>
          <w:sz w:val="24"/>
          <w:szCs w:val="24"/>
          <w:lang w:val="sv-SE"/>
        </w:rPr>
      </w:pPr>
      <w:r>
        <w:rPr>
          <w:rFonts w:ascii="Times New Roman" w:hAnsi="Times New Roman" w:cs="Times New Roman"/>
          <w:b/>
          <w:sz w:val="24"/>
          <w:szCs w:val="24"/>
          <w:lang w:val="sv-SE"/>
        </w:rPr>
        <w:t>Pembatalan Peraturan Daerah dan Peraturan Kepala Daerah</w:t>
      </w:r>
    </w:p>
    <w:p>
      <w:pPr>
        <w:pStyle w:val="10"/>
        <w:keepNext w:val="0"/>
        <w:keepLines w:val="0"/>
        <w:pageBreakBefore w:val="0"/>
        <w:widowControl/>
        <w:numPr>
          <w:ilvl w:val="0"/>
          <w:numId w:val="35"/>
        </w:numPr>
        <w:kinsoku/>
        <w:wordWrap/>
        <w:overflowPunct/>
        <w:topLinePunct w:val="0"/>
        <w:autoSpaceDE/>
        <w:autoSpaceDN/>
        <w:bidi w:val="0"/>
        <w:adjustRightInd/>
        <w:snapToGrid/>
        <w:spacing w:after="0" w:line="360" w:lineRule="auto"/>
        <w:jc w:val="both"/>
        <w:textAlignment w:val="auto"/>
        <w:rPr>
          <w:rFonts w:ascii="Times New Roman" w:hAnsi="Times New Roman" w:cs="Times New Roman"/>
          <w:b/>
          <w:sz w:val="24"/>
          <w:szCs w:val="24"/>
          <w:lang w:val="sv-SE"/>
        </w:rPr>
      </w:pPr>
      <w:r>
        <w:rPr>
          <w:rFonts w:ascii="Times New Roman" w:hAnsi="Times New Roman" w:cs="Times New Roman"/>
          <w:b/>
          <w:sz w:val="24"/>
          <w:szCs w:val="24"/>
          <w:lang w:val="sv-SE"/>
        </w:rPr>
        <w:t>Pembatalan Peraturan Daerah dan Peraturan Kepala Daerah Menurut UU. No. 23 Tahun 2014</w:t>
      </w:r>
    </w:p>
    <w:p>
      <w:pPr>
        <w:spacing w:after="0" w:line="360" w:lineRule="auto"/>
        <w:ind w:firstLine="720"/>
        <w:jc w:val="both"/>
        <w:rPr>
          <w:rFonts w:ascii="Times New Roman" w:hAnsi="Times New Roman" w:cs="Times New Roman"/>
          <w:sz w:val="24"/>
          <w:szCs w:val="24"/>
          <w:lang w:val="sv-SE"/>
        </w:rPr>
      </w:pPr>
      <w:r>
        <w:rPr>
          <w:rFonts w:ascii="Times New Roman" w:hAnsi="Times New Roman" w:cs="Times New Roman"/>
          <w:sz w:val="24"/>
          <w:szCs w:val="24"/>
          <w:lang w:val="sv-SE"/>
        </w:rPr>
        <w:t xml:space="preserve">Sebagaimana disebut dalam Pasal 249 UU. No. 23 Tahun 2014, bahwa : </w:t>
      </w:r>
    </w:p>
    <w:p>
      <w:pPr>
        <w:pStyle w:val="10"/>
        <w:numPr>
          <w:ilvl w:val="0"/>
          <w:numId w:val="36"/>
        </w:numPr>
        <w:spacing w:line="240" w:lineRule="auto"/>
        <w:ind w:left="993"/>
        <w:jc w:val="both"/>
        <w:rPr>
          <w:rFonts w:ascii="Times New Roman" w:hAnsi="Times New Roman" w:cs="Times New Roman"/>
          <w:sz w:val="24"/>
          <w:szCs w:val="24"/>
          <w:lang w:val="en-US"/>
        </w:rPr>
      </w:pPr>
      <w:r>
        <w:rPr>
          <w:rFonts w:ascii="Times New Roman" w:hAnsi="Times New Roman" w:cs="Times New Roman"/>
          <w:sz w:val="24"/>
          <w:szCs w:val="24"/>
          <w:lang w:val="en-US"/>
        </w:rPr>
        <w:t>Gubernur wajib menyampaikan Perda Provinsi dan peraturan gubernur kepada Menteri paling lama 7 (tujuh) Hari setelah ditetapkan.</w:t>
      </w:r>
    </w:p>
    <w:p>
      <w:pPr>
        <w:pStyle w:val="10"/>
        <w:numPr>
          <w:ilvl w:val="0"/>
          <w:numId w:val="36"/>
        </w:numPr>
        <w:spacing w:line="240" w:lineRule="auto"/>
        <w:ind w:left="993"/>
        <w:jc w:val="both"/>
        <w:rPr>
          <w:rFonts w:ascii="Times New Roman" w:hAnsi="Times New Roman" w:cs="Times New Roman"/>
          <w:sz w:val="24"/>
          <w:szCs w:val="24"/>
          <w:lang w:val="en-US"/>
        </w:rPr>
      </w:pPr>
      <w:r>
        <w:rPr>
          <w:rFonts w:ascii="Times New Roman" w:hAnsi="Times New Roman" w:cs="Times New Roman"/>
          <w:sz w:val="24"/>
          <w:szCs w:val="24"/>
          <w:lang w:val="en-US"/>
        </w:rPr>
        <w:t>Gubernur yang tidak menyampaikan Perda Provinsi dan peraturan gubernur kepada Menteri sebagaimana dimaksud pada ayat (1) dikenai sanksi administratif berupa teguran tertulis dari Menteri.</w:t>
      </w:r>
    </w:p>
    <w:p>
      <w:pPr>
        <w:pStyle w:val="10"/>
        <w:numPr>
          <w:ilvl w:val="0"/>
          <w:numId w:val="36"/>
        </w:numPr>
        <w:spacing w:line="240" w:lineRule="auto"/>
        <w:ind w:left="993"/>
        <w:jc w:val="both"/>
        <w:rPr>
          <w:rFonts w:ascii="Times New Roman" w:hAnsi="Times New Roman" w:cs="Times New Roman"/>
          <w:sz w:val="24"/>
          <w:szCs w:val="24"/>
          <w:lang w:val="en-US"/>
        </w:rPr>
      </w:pPr>
      <w:r>
        <w:rPr>
          <w:rFonts w:ascii="Times New Roman" w:hAnsi="Times New Roman" w:cs="Times New Roman"/>
          <w:sz w:val="24"/>
          <w:szCs w:val="24"/>
          <w:lang w:val="en-US"/>
        </w:rPr>
        <w:t>Bupati/wali kota wajib menyampaikan Perda Kabupaten/Kota dan peraturan bupati/wali kota kepada gubernur sebagai wakil Pemerintah Pusat paling lama 7 (tujuh) Hari setelah ditetapkan.</w:t>
      </w:r>
    </w:p>
    <w:p>
      <w:pPr>
        <w:pStyle w:val="10"/>
        <w:numPr>
          <w:ilvl w:val="0"/>
          <w:numId w:val="36"/>
        </w:numPr>
        <w:spacing w:line="240" w:lineRule="auto"/>
        <w:ind w:left="993"/>
        <w:jc w:val="both"/>
        <w:rPr>
          <w:rFonts w:ascii="Times New Roman" w:hAnsi="Times New Roman" w:cs="Times New Roman"/>
          <w:sz w:val="24"/>
          <w:szCs w:val="24"/>
          <w:lang w:val="en-US"/>
        </w:rPr>
      </w:pPr>
      <w:r>
        <w:rPr>
          <w:rFonts w:ascii="Times New Roman" w:hAnsi="Times New Roman" w:cs="Times New Roman"/>
          <w:sz w:val="24"/>
          <w:szCs w:val="24"/>
          <w:lang w:val="en-US"/>
        </w:rPr>
        <w:t>Bupati/wali kota yang tidak menyampaikan Perda Kabupaten/Kota dan peraturan bupati/wali kota kepada gubernur sebagai wakil Pemerintah Pusat sebagaimana dimaksud pada ayat (3) dikenai sanksi administratif berupa teguran tertulis dari gubernur sebagai wakil Pemerintah Pusat.</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Berdasarkan ketentuan di atas tampak bahwa Gubernur mempunyai kewajiban untuk menyampaikan Perda Provinsi dan Peraturan Gubernur kepada Menteri paling lama 7 (tujuh) Hari setelah ditetapkan. Begitu juga dengan Bupati/Wali Kota juga wajib menyampaikan Perda dan Perkada Kabupaten/Kota kepada Gubernur sebagai wakil Pemerintah Pusat paling lama 7 hari setelah ditetapkan. </w:t>
      </w:r>
    </w:p>
    <w:p>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Terhadap Perda dan Perkada Provinsi, Menteri dapat melakukan evaluasi apakah isinya bertentangan dengan ketentuan yang lebih tinggi, kepentingan umum, dan/atau kesusilaan. Apabila Perda dan Perkada tersebut bertentangan dengan peraturan perundang-undangan yang lebih tinggi, kepentingan umum, dan/atau kesusilaan Menteri membatalkannya. Begitu juga dengan Perda dan Perkada Kabupaten/Kota, apabila isinya bertentangan dengan peraturan perundang-undangan yang lebih tinggi, kepentingan umum, dan/atau kesusilaan, Gubernur membatalkannya. Hal itu sesuai dengan ketentuan Pasal 251 UU. No. 23 Tahun 2014 yang mengatakan, bahwa :</w:t>
      </w:r>
    </w:p>
    <w:p>
      <w:pPr>
        <w:pStyle w:val="10"/>
        <w:numPr>
          <w:ilvl w:val="0"/>
          <w:numId w:val="37"/>
        </w:numPr>
        <w:spacing w:line="240" w:lineRule="auto"/>
        <w:jc w:val="both"/>
        <w:rPr>
          <w:rFonts w:ascii="Times New Roman" w:hAnsi="Times New Roman" w:cs="Times New Roman"/>
          <w:sz w:val="24"/>
          <w:szCs w:val="24"/>
        </w:rPr>
      </w:pPr>
      <w:r>
        <w:rPr>
          <w:rFonts w:ascii="Times New Roman" w:hAnsi="Times New Roman" w:cs="Times New Roman"/>
          <w:sz w:val="24"/>
          <w:szCs w:val="24"/>
        </w:rPr>
        <w:t>Perda Provinsi dan peraturan gubernur yang bertentangan dengan ketentuan peraturan perundang</w:t>
      </w:r>
      <w:r>
        <w:rPr>
          <w:rFonts w:ascii="Times New Roman" w:hAnsi="Times New Roman" w:cs="Times New Roman"/>
          <w:sz w:val="24"/>
          <w:szCs w:val="24"/>
          <w:lang w:val="en-US"/>
        </w:rPr>
        <w:t>-</w:t>
      </w:r>
      <w:r>
        <w:rPr>
          <w:rFonts w:ascii="Times New Roman" w:hAnsi="Times New Roman" w:cs="Times New Roman"/>
          <w:sz w:val="24"/>
          <w:szCs w:val="24"/>
        </w:rPr>
        <w:t>undangan</w:t>
      </w:r>
      <w:r>
        <w:rPr>
          <w:rFonts w:ascii="Times New Roman" w:hAnsi="Times New Roman" w:cs="Times New Roman"/>
          <w:sz w:val="24"/>
          <w:szCs w:val="24"/>
          <w:lang w:val="en-US"/>
        </w:rPr>
        <w:t xml:space="preserve"> </w:t>
      </w:r>
      <w:r>
        <w:rPr>
          <w:rFonts w:ascii="Times New Roman" w:hAnsi="Times New Roman" w:cs="Times New Roman"/>
          <w:sz w:val="24"/>
          <w:szCs w:val="24"/>
        </w:rPr>
        <w:t>yang lebih tinggi, kepentingan umum, dan/atau kesusilaan dibatalkan oleh Menteri.</w:t>
      </w:r>
    </w:p>
    <w:p>
      <w:pPr>
        <w:pStyle w:val="10"/>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Perda Kabupaten/Kota dan peraturan bupati/wali kota yang bertentangan dengan ketentuan peraturan</w:t>
      </w:r>
      <w:r>
        <w:rPr>
          <w:rFonts w:ascii="Times New Roman" w:hAnsi="Times New Roman" w:cs="Times New Roman"/>
          <w:sz w:val="24"/>
          <w:szCs w:val="24"/>
          <w:lang w:val="en-US"/>
        </w:rPr>
        <w:t xml:space="preserve"> </w:t>
      </w:r>
      <w:r>
        <w:rPr>
          <w:rFonts w:ascii="Times New Roman" w:hAnsi="Times New Roman" w:cs="Times New Roman"/>
          <w:sz w:val="24"/>
          <w:szCs w:val="24"/>
        </w:rPr>
        <w:t>perundang-undangan yang lebih tinggi, kepentingan umum, dan/atau kesusilaan dibatalkan oleh gubernur</w:t>
      </w:r>
      <w:r>
        <w:rPr>
          <w:rFonts w:ascii="Times New Roman" w:hAnsi="Times New Roman" w:cs="Times New Roman"/>
          <w:sz w:val="24"/>
          <w:szCs w:val="24"/>
          <w:lang w:val="en-US"/>
        </w:rPr>
        <w:t xml:space="preserve"> </w:t>
      </w:r>
      <w:r>
        <w:rPr>
          <w:rFonts w:ascii="Times New Roman" w:hAnsi="Times New Roman" w:cs="Times New Roman"/>
          <w:sz w:val="24"/>
          <w:szCs w:val="24"/>
        </w:rPr>
        <w:t>sebagai wakil Pemerintah Pusat.</w:t>
      </w:r>
    </w:p>
    <w:p>
      <w:pPr>
        <w:pStyle w:val="10"/>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Dalam hal gubernur sebagai wakil Pemerintah Pusat tidak membatalkan Perda Kabupaten/Kota dan/atau</w:t>
      </w:r>
      <w:r>
        <w:rPr>
          <w:rFonts w:ascii="Times New Roman" w:hAnsi="Times New Roman" w:cs="Times New Roman"/>
          <w:sz w:val="24"/>
          <w:szCs w:val="24"/>
          <w:lang w:val="en-US"/>
        </w:rPr>
        <w:t xml:space="preserve"> </w:t>
      </w:r>
      <w:r>
        <w:rPr>
          <w:rFonts w:ascii="Times New Roman" w:hAnsi="Times New Roman" w:cs="Times New Roman"/>
          <w:sz w:val="24"/>
          <w:szCs w:val="24"/>
        </w:rPr>
        <w:t>peraturan bupati/wali kota yang bertentangan dengan ketentuan peraturan perundang-undangan yang</w:t>
      </w:r>
      <w:r>
        <w:rPr>
          <w:rFonts w:ascii="Times New Roman" w:hAnsi="Times New Roman" w:cs="Times New Roman"/>
          <w:sz w:val="24"/>
          <w:szCs w:val="24"/>
          <w:lang w:val="en-US"/>
        </w:rPr>
        <w:t xml:space="preserve"> </w:t>
      </w:r>
      <w:r>
        <w:rPr>
          <w:rFonts w:ascii="Times New Roman" w:hAnsi="Times New Roman" w:cs="Times New Roman"/>
          <w:sz w:val="24"/>
          <w:szCs w:val="24"/>
        </w:rPr>
        <w:t>lebih tinggi, kepentingan umum, dan/atau kesusilaan sebagaimana dimaksud pada ayat (2), Menteri</w:t>
      </w:r>
      <w:r>
        <w:rPr>
          <w:rFonts w:ascii="Times New Roman" w:hAnsi="Times New Roman" w:cs="Times New Roman"/>
          <w:sz w:val="24"/>
          <w:szCs w:val="24"/>
          <w:lang w:val="en-US"/>
        </w:rPr>
        <w:t xml:space="preserve"> </w:t>
      </w:r>
      <w:r>
        <w:rPr>
          <w:rFonts w:ascii="Times New Roman" w:hAnsi="Times New Roman" w:cs="Times New Roman"/>
          <w:sz w:val="24"/>
          <w:szCs w:val="24"/>
        </w:rPr>
        <w:t>membatalkan Perda Kabupaten/Kota dan/atau peraturan bupati/wali kota.</w:t>
      </w:r>
    </w:p>
    <w:p>
      <w:pPr>
        <w:pStyle w:val="10"/>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Pembatalan Perda Provinsi dan peraturan gubernur sebagaimana dimaksud pada ayat (1) ditetapkan</w:t>
      </w:r>
      <w:r>
        <w:rPr>
          <w:rFonts w:ascii="Times New Roman" w:hAnsi="Times New Roman" w:cs="Times New Roman"/>
          <w:sz w:val="24"/>
          <w:szCs w:val="24"/>
          <w:lang w:val="en-US"/>
        </w:rPr>
        <w:t xml:space="preserve"> </w:t>
      </w:r>
      <w:r>
        <w:rPr>
          <w:rFonts w:ascii="Times New Roman" w:hAnsi="Times New Roman" w:cs="Times New Roman"/>
          <w:sz w:val="24"/>
          <w:szCs w:val="24"/>
        </w:rPr>
        <w:t>dengan keputusan Menteri dan pembatalan Perda Kabupaten/Kota dan peraturan bupati/wali kota</w:t>
      </w:r>
      <w:r>
        <w:rPr>
          <w:rFonts w:ascii="Times New Roman" w:hAnsi="Times New Roman" w:cs="Times New Roman"/>
          <w:sz w:val="24"/>
          <w:szCs w:val="24"/>
          <w:lang w:val="en-US"/>
        </w:rPr>
        <w:t xml:space="preserve"> </w:t>
      </w:r>
      <w:r>
        <w:rPr>
          <w:rFonts w:ascii="Times New Roman" w:hAnsi="Times New Roman" w:cs="Times New Roman"/>
          <w:sz w:val="24"/>
          <w:szCs w:val="24"/>
        </w:rPr>
        <w:t>sebagaimana dimaksud pada ayat (2) ditetapkan dengan keputusan gubernur sebagai wakil Pemerintah</w:t>
      </w:r>
      <w:r>
        <w:rPr>
          <w:rFonts w:ascii="Times New Roman" w:hAnsi="Times New Roman" w:cs="Times New Roman"/>
          <w:sz w:val="24"/>
          <w:szCs w:val="24"/>
          <w:lang w:val="en-US"/>
        </w:rPr>
        <w:t xml:space="preserve"> </w:t>
      </w:r>
      <w:r>
        <w:rPr>
          <w:rFonts w:ascii="Times New Roman" w:hAnsi="Times New Roman" w:cs="Times New Roman"/>
          <w:sz w:val="24"/>
          <w:szCs w:val="24"/>
        </w:rPr>
        <w:t>Pusat.</w:t>
      </w:r>
    </w:p>
    <w:p>
      <w:pPr>
        <w:pStyle w:val="10"/>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Paling lama 7 (tujuh) Hari setelah keputusan pembatalan sebagaimana dimaksud pada ayat (4), kepala</w:t>
      </w:r>
      <w:r>
        <w:rPr>
          <w:rFonts w:ascii="Times New Roman" w:hAnsi="Times New Roman" w:cs="Times New Roman"/>
          <w:sz w:val="24"/>
          <w:szCs w:val="24"/>
          <w:lang w:val="en-US"/>
        </w:rPr>
        <w:t xml:space="preserve"> </w:t>
      </w:r>
      <w:r>
        <w:rPr>
          <w:rFonts w:ascii="Times New Roman" w:hAnsi="Times New Roman" w:cs="Times New Roman"/>
          <w:sz w:val="24"/>
          <w:szCs w:val="24"/>
        </w:rPr>
        <w:t>daerah harus menghentikan pelaksanaan Perda dan selanjutnya DPRD bersama kepala daerah</w:t>
      </w:r>
      <w:r>
        <w:rPr>
          <w:rFonts w:ascii="Times New Roman" w:hAnsi="Times New Roman" w:cs="Times New Roman"/>
          <w:sz w:val="24"/>
          <w:szCs w:val="24"/>
          <w:lang w:val="en-US"/>
        </w:rPr>
        <w:t xml:space="preserve"> </w:t>
      </w:r>
      <w:r>
        <w:rPr>
          <w:rFonts w:ascii="Times New Roman" w:hAnsi="Times New Roman" w:cs="Times New Roman"/>
          <w:sz w:val="24"/>
          <w:szCs w:val="24"/>
        </w:rPr>
        <w:t>mencabut Perda dimaksud.</w:t>
      </w:r>
    </w:p>
    <w:p>
      <w:pPr>
        <w:pStyle w:val="10"/>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Paling lama 7 (tujuh) Hari setelah keputusan pembatalan sebagaimana dimaksud pada ayat (4), kepala</w:t>
      </w:r>
      <w:r>
        <w:rPr>
          <w:rFonts w:ascii="Times New Roman" w:hAnsi="Times New Roman" w:cs="Times New Roman"/>
          <w:sz w:val="24"/>
          <w:szCs w:val="24"/>
          <w:lang w:val="en-US"/>
        </w:rPr>
        <w:t xml:space="preserve"> </w:t>
      </w:r>
      <w:r>
        <w:rPr>
          <w:rFonts w:ascii="Times New Roman" w:hAnsi="Times New Roman" w:cs="Times New Roman"/>
          <w:sz w:val="24"/>
          <w:szCs w:val="24"/>
        </w:rPr>
        <w:t>daerah harus menghentikan pelaksanaan Perkada dan selanjutnya kepala daerah mencabut Perkada</w:t>
      </w:r>
      <w:r>
        <w:rPr>
          <w:rFonts w:ascii="Times New Roman" w:hAnsi="Times New Roman" w:cs="Times New Roman"/>
          <w:sz w:val="24"/>
          <w:szCs w:val="24"/>
          <w:lang w:val="en-US"/>
        </w:rPr>
        <w:t xml:space="preserve"> </w:t>
      </w:r>
      <w:r>
        <w:rPr>
          <w:rFonts w:ascii="Times New Roman" w:hAnsi="Times New Roman" w:cs="Times New Roman"/>
          <w:sz w:val="24"/>
          <w:szCs w:val="24"/>
        </w:rPr>
        <w:t>dimaksud.</w:t>
      </w:r>
    </w:p>
    <w:p>
      <w:pPr>
        <w:pStyle w:val="10"/>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Dalam hal penyelenggara Pemerintahan Daerah provinsi tidak dapat menerima keputusan pembatalan</w:t>
      </w:r>
      <w:r>
        <w:rPr>
          <w:rFonts w:ascii="Times New Roman" w:hAnsi="Times New Roman" w:cs="Times New Roman"/>
          <w:sz w:val="24"/>
          <w:szCs w:val="24"/>
          <w:lang w:val="en-US"/>
        </w:rPr>
        <w:t xml:space="preserve"> </w:t>
      </w:r>
      <w:r>
        <w:rPr>
          <w:rFonts w:ascii="Times New Roman" w:hAnsi="Times New Roman" w:cs="Times New Roman"/>
          <w:sz w:val="24"/>
          <w:szCs w:val="24"/>
        </w:rPr>
        <w:t>Perda Provinsi dan gubernur tidak dapat menerima keputusan pembatalan peraturan gubernur</w:t>
      </w:r>
      <w:r>
        <w:rPr>
          <w:rFonts w:ascii="Times New Roman" w:hAnsi="Times New Roman" w:cs="Times New Roman"/>
          <w:sz w:val="24"/>
          <w:szCs w:val="24"/>
          <w:lang w:val="en-US"/>
        </w:rPr>
        <w:t xml:space="preserve"> </w:t>
      </w:r>
      <w:r>
        <w:rPr>
          <w:rFonts w:ascii="Times New Roman" w:hAnsi="Times New Roman" w:cs="Times New Roman"/>
          <w:sz w:val="24"/>
          <w:szCs w:val="24"/>
        </w:rPr>
        <w:t>sebagaimana dimaksud pada ayat (4) dengan alasan yang dapat dibenarkan oleh ketentuan peraturan</w:t>
      </w:r>
      <w:r>
        <w:rPr>
          <w:rFonts w:ascii="Times New Roman" w:hAnsi="Times New Roman" w:cs="Times New Roman"/>
          <w:sz w:val="24"/>
          <w:szCs w:val="24"/>
          <w:lang w:val="en-US"/>
        </w:rPr>
        <w:t xml:space="preserve"> </w:t>
      </w:r>
      <w:r>
        <w:rPr>
          <w:rFonts w:ascii="Times New Roman" w:hAnsi="Times New Roman" w:cs="Times New Roman"/>
          <w:sz w:val="24"/>
          <w:szCs w:val="24"/>
        </w:rPr>
        <w:t>perundang-undangan, gubernur dapat mengajukan keberatan kepada Presiden paling lambat 14 (empat</w:t>
      </w:r>
      <w:r>
        <w:rPr>
          <w:rFonts w:ascii="Times New Roman" w:hAnsi="Times New Roman" w:cs="Times New Roman"/>
          <w:sz w:val="24"/>
          <w:szCs w:val="24"/>
          <w:lang w:val="en-US"/>
        </w:rPr>
        <w:t xml:space="preserve"> </w:t>
      </w:r>
      <w:r>
        <w:rPr>
          <w:rFonts w:ascii="Times New Roman" w:hAnsi="Times New Roman" w:cs="Times New Roman"/>
          <w:sz w:val="24"/>
          <w:szCs w:val="24"/>
        </w:rPr>
        <w:t>belas) Hari sejak keputusan pembatalan Perda atau peraturan gubernur diterima.</w:t>
      </w:r>
    </w:p>
    <w:p>
      <w:pPr>
        <w:pStyle w:val="10"/>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Dalam hal penyelenggara Pemerintahan Daerah kabupaten/kota tidak dapat menerima keputusan</w:t>
      </w:r>
      <w:r>
        <w:rPr>
          <w:rFonts w:ascii="Times New Roman" w:hAnsi="Times New Roman" w:cs="Times New Roman"/>
          <w:sz w:val="24"/>
          <w:szCs w:val="24"/>
          <w:lang w:val="en-US"/>
        </w:rPr>
        <w:t xml:space="preserve"> </w:t>
      </w:r>
      <w:r>
        <w:rPr>
          <w:rFonts w:ascii="Times New Roman" w:hAnsi="Times New Roman" w:cs="Times New Roman"/>
          <w:sz w:val="24"/>
          <w:szCs w:val="24"/>
        </w:rPr>
        <w:t>pembatalan Perda Kabupaten/Kota dan bupati/wali kota tidak dapat menerima keputusan pembatalan</w:t>
      </w:r>
      <w:r>
        <w:rPr>
          <w:rFonts w:ascii="Times New Roman" w:hAnsi="Times New Roman" w:cs="Times New Roman"/>
          <w:sz w:val="24"/>
          <w:szCs w:val="24"/>
          <w:lang w:val="en-US"/>
        </w:rPr>
        <w:t xml:space="preserve"> </w:t>
      </w:r>
      <w:r>
        <w:rPr>
          <w:rFonts w:ascii="Times New Roman" w:hAnsi="Times New Roman" w:cs="Times New Roman"/>
          <w:sz w:val="24"/>
          <w:szCs w:val="24"/>
        </w:rPr>
        <w:t>peraturan bupati/wali kota sebagaimana dimaksud pada ayat (4) dengan alasan yang dapat dibenarkan</w:t>
      </w:r>
      <w:r>
        <w:rPr>
          <w:rFonts w:ascii="Times New Roman" w:hAnsi="Times New Roman" w:cs="Times New Roman"/>
          <w:sz w:val="24"/>
          <w:szCs w:val="24"/>
          <w:lang w:val="en-US"/>
        </w:rPr>
        <w:t xml:space="preserve"> </w:t>
      </w:r>
      <w:r>
        <w:rPr>
          <w:rFonts w:ascii="Times New Roman" w:hAnsi="Times New Roman" w:cs="Times New Roman"/>
          <w:sz w:val="24"/>
          <w:szCs w:val="24"/>
        </w:rPr>
        <w:t>oleh ketentuan peraturan perundang-undangan, bupati/wali kota dapat mengajukan keberatan kepada</w:t>
      </w:r>
      <w:r>
        <w:rPr>
          <w:rFonts w:ascii="Times New Roman" w:hAnsi="Times New Roman" w:cs="Times New Roman"/>
          <w:sz w:val="24"/>
          <w:szCs w:val="24"/>
          <w:lang w:val="en-US"/>
        </w:rPr>
        <w:t xml:space="preserve"> </w:t>
      </w:r>
      <w:r>
        <w:rPr>
          <w:rFonts w:ascii="Times New Roman" w:hAnsi="Times New Roman" w:cs="Times New Roman"/>
          <w:sz w:val="24"/>
          <w:szCs w:val="24"/>
        </w:rPr>
        <w:t>Menteri paling lambat 14 (empat belas) Hari sejak keputusan pembatalan Perda Kabupaten/Kota atau</w:t>
      </w:r>
      <w:r>
        <w:rPr>
          <w:rFonts w:ascii="Times New Roman" w:hAnsi="Times New Roman" w:cs="Times New Roman"/>
          <w:sz w:val="24"/>
          <w:szCs w:val="24"/>
          <w:lang w:val="en-US"/>
        </w:rPr>
        <w:t xml:space="preserve"> </w:t>
      </w:r>
      <w:r>
        <w:rPr>
          <w:rFonts w:ascii="Times New Roman" w:hAnsi="Times New Roman" w:cs="Times New Roman"/>
          <w:sz w:val="24"/>
          <w:szCs w:val="24"/>
        </w:rPr>
        <w:t>peraturan bupati/wali kota diterima.</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Pemerintah Daerah (Provinsi dan Kabupaten/Kota) yang masih menggunakan Perda dan Perkada yang sudah dibatalkan itu dikenai sanksi. Hal itu sesuai dengan ketentuan sebagaimana disebut dalam Pasal 252 ayat (1) UU. No. 23 Tahun 2014 yang mengatakan, bahwa :</w:t>
      </w:r>
    </w:p>
    <w:p>
      <w:pPr>
        <w:pStyle w:val="10"/>
        <w:numPr>
          <w:ilvl w:val="0"/>
          <w:numId w:val="3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Penyelenggara Pemerintahan Daerah provinsi atau kabupaten/kota yang masih memberlakukan Perda</w:t>
      </w:r>
      <w:r>
        <w:rPr>
          <w:rFonts w:ascii="Times New Roman" w:hAnsi="Times New Roman" w:cs="Times New Roman"/>
          <w:sz w:val="24"/>
          <w:szCs w:val="24"/>
          <w:lang w:val="en-US"/>
        </w:rPr>
        <w:t xml:space="preserve"> </w:t>
      </w:r>
      <w:r>
        <w:rPr>
          <w:rFonts w:ascii="Times New Roman" w:hAnsi="Times New Roman" w:cs="Times New Roman"/>
          <w:sz w:val="24"/>
          <w:szCs w:val="24"/>
        </w:rPr>
        <w:t>yang dibatalkan oleh Menteri atau oleh gubernur sebagai wakil Pemerintah Pusat sebagaimana dimaksud</w:t>
      </w:r>
      <w:r>
        <w:rPr>
          <w:rFonts w:ascii="Times New Roman" w:hAnsi="Times New Roman" w:cs="Times New Roman"/>
          <w:sz w:val="24"/>
          <w:szCs w:val="24"/>
          <w:lang w:val="en-US"/>
        </w:rPr>
        <w:t xml:space="preserve"> </w:t>
      </w:r>
      <w:r>
        <w:rPr>
          <w:rFonts w:ascii="Times New Roman" w:hAnsi="Times New Roman" w:cs="Times New Roman"/>
          <w:sz w:val="24"/>
          <w:szCs w:val="24"/>
        </w:rPr>
        <w:t>dalam Pasal 251 ayat (4), dikenai sanksi.</w:t>
      </w:r>
    </w:p>
    <w:p>
      <w:pPr>
        <w:pStyle w:val="10"/>
        <w:spacing w:after="0" w:line="240" w:lineRule="auto"/>
        <w:jc w:val="both"/>
        <w:rPr>
          <w:rFonts w:ascii="Times New Roman" w:hAnsi="Times New Roman" w:cs="Times New Roman"/>
          <w:sz w:val="24"/>
          <w:szCs w:val="24"/>
        </w:rPr>
      </w:pP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Tentang sanksinya di dalam Pasal 253 ayat (2), (3), (4), dan (5) UU. No. 23 Tahun 2014 dikatakan, bahwa :</w:t>
      </w:r>
    </w:p>
    <w:p>
      <w:pPr>
        <w:pStyle w:val="10"/>
        <w:numPr>
          <w:ilvl w:val="0"/>
          <w:numId w:val="38"/>
        </w:numPr>
        <w:spacing w:line="240" w:lineRule="auto"/>
        <w:jc w:val="both"/>
        <w:rPr>
          <w:rFonts w:ascii="Times New Roman" w:hAnsi="Times New Roman" w:cs="Times New Roman"/>
          <w:sz w:val="24"/>
          <w:szCs w:val="24"/>
        </w:rPr>
      </w:pPr>
      <w:r>
        <w:rPr>
          <w:rFonts w:ascii="Times New Roman" w:hAnsi="Times New Roman" w:cs="Times New Roman"/>
          <w:sz w:val="24"/>
          <w:szCs w:val="24"/>
        </w:rPr>
        <w:t>Sanksi sebagaimana dimaksud pada ayat (1) berupa:</w:t>
      </w:r>
    </w:p>
    <w:p>
      <w:pPr>
        <w:pStyle w:val="10"/>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sanksi administratif; dan/atau</w:t>
      </w:r>
      <w:r>
        <w:rPr>
          <w:rFonts w:ascii="Times New Roman" w:hAnsi="Times New Roman" w:cs="Times New Roman"/>
          <w:sz w:val="24"/>
          <w:szCs w:val="24"/>
          <w:lang w:val="en-US"/>
        </w:rPr>
        <w:t xml:space="preserve"> </w:t>
      </w:r>
    </w:p>
    <w:p>
      <w:pPr>
        <w:pStyle w:val="10"/>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sanksi penundaan evaluasi rancangan Perda;</w:t>
      </w:r>
    </w:p>
    <w:p>
      <w:pPr>
        <w:pStyle w:val="10"/>
        <w:numPr>
          <w:ilvl w:val="0"/>
          <w:numId w:val="38"/>
        </w:numPr>
        <w:spacing w:line="240" w:lineRule="auto"/>
        <w:jc w:val="both"/>
        <w:rPr>
          <w:rFonts w:ascii="Times New Roman" w:hAnsi="Times New Roman" w:cs="Times New Roman"/>
          <w:sz w:val="24"/>
          <w:szCs w:val="24"/>
        </w:rPr>
      </w:pPr>
      <w:r>
        <w:rPr>
          <w:rFonts w:ascii="Times New Roman" w:hAnsi="Times New Roman" w:cs="Times New Roman"/>
          <w:sz w:val="24"/>
          <w:szCs w:val="24"/>
        </w:rPr>
        <w:t>Sanksi administratif sebagaimana dimaksud pada ayat (2) huruf a dikenai kepada kepala Daerah dan anggota DPRD berupa tidak dibayarkan hak-hak keuangan yang diatur dalam ketentuan peraturan</w:t>
      </w:r>
      <w:r>
        <w:rPr>
          <w:rFonts w:ascii="Times New Roman" w:hAnsi="Times New Roman" w:cs="Times New Roman"/>
          <w:sz w:val="24"/>
          <w:szCs w:val="24"/>
          <w:lang w:val="en-US"/>
        </w:rPr>
        <w:t xml:space="preserve"> </w:t>
      </w:r>
      <w:r>
        <w:rPr>
          <w:rFonts w:ascii="Times New Roman" w:hAnsi="Times New Roman" w:cs="Times New Roman"/>
          <w:sz w:val="24"/>
          <w:szCs w:val="24"/>
        </w:rPr>
        <w:t>perundang-undangan selama 3 (tiga) bulan.</w:t>
      </w:r>
    </w:p>
    <w:p>
      <w:pPr>
        <w:pStyle w:val="10"/>
        <w:numPr>
          <w:ilvl w:val="0"/>
          <w:numId w:val="38"/>
        </w:numPr>
        <w:spacing w:line="240" w:lineRule="auto"/>
        <w:jc w:val="both"/>
        <w:rPr>
          <w:rFonts w:ascii="Times New Roman" w:hAnsi="Times New Roman" w:cs="Times New Roman"/>
          <w:sz w:val="24"/>
          <w:szCs w:val="24"/>
        </w:rPr>
      </w:pPr>
      <w:r>
        <w:rPr>
          <w:rFonts w:ascii="Times New Roman" w:hAnsi="Times New Roman" w:cs="Times New Roman"/>
          <w:sz w:val="24"/>
          <w:szCs w:val="24"/>
        </w:rPr>
        <w:t>Sanksi sebagaimana dimaksud pada ayat (2) tidak diterapkan pada saat penyelenggara Pemerintahan</w:t>
      </w:r>
      <w:r>
        <w:rPr>
          <w:rFonts w:ascii="Times New Roman" w:hAnsi="Times New Roman" w:cs="Times New Roman"/>
          <w:sz w:val="24"/>
          <w:szCs w:val="24"/>
          <w:lang w:val="en-US"/>
        </w:rPr>
        <w:t xml:space="preserve"> </w:t>
      </w:r>
      <w:r>
        <w:rPr>
          <w:rFonts w:ascii="Times New Roman" w:hAnsi="Times New Roman" w:cs="Times New Roman"/>
          <w:sz w:val="24"/>
          <w:szCs w:val="24"/>
        </w:rPr>
        <w:t>Daerah masih mengajukan keberatan kepada Presiden untuk Perda Provinsi dan kepada Menteri untuk</w:t>
      </w:r>
      <w:r>
        <w:rPr>
          <w:rFonts w:ascii="Times New Roman" w:hAnsi="Times New Roman" w:cs="Times New Roman"/>
          <w:sz w:val="24"/>
          <w:szCs w:val="24"/>
          <w:lang w:val="en-US"/>
        </w:rPr>
        <w:t xml:space="preserve"> </w:t>
      </w:r>
      <w:r>
        <w:rPr>
          <w:rFonts w:ascii="Times New Roman" w:hAnsi="Times New Roman" w:cs="Times New Roman"/>
          <w:sz w:val="24"/>
          <w:szCs w:val="24"/>
        </w:rPr>
        <w:t>Perda Kabupaten/Kota.</w:t>
      </w:r>
    </w:p>
    <w:p>
      <w:pPr>
        <w:pStyle w:val="10"/>
        <w:numPr>
          <w:ilvl w:val="0"/>
          <w:numId w:val="38"/>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Dalam hal penyelenggara Pemerintahan Daerah </w:t>
      </w:r>
      <w:r>
        <w:rPr>
          <w:rFonts w:ascii="Times New Roman" w:hAnsi="Times New Roman" w:cs="Times New Roman"/>
          <w:sz w:val="24"/>
          <w:szCs w:val="24"/>
          <w:lang w:val="en-US"/>
        </w:rPr>
        <w:t>P</w:t>
      </w:r>
      <w:r>
        <w:rPr>
          <w:rFonts w:ascii="Times New Roman" w:hAnsi="Times New Roman" w:cs="Times New Roman"/>
          <w:sz w:val="24"/>
          <w:szCs w:val="24"/>
        </w:rPr>
        <w:t xml:space="preserve">rovinsi atau </w:t>
      </w:r>
      <w:r>
        <w:rPr>
          <w:rFonts w:ascii="Times New Roman" w:hAnsi="Times New Roman" w:cs="Times New Roman"/>
          <w:sz w:val="24"/>
          <w:szCs w:val="24"/>
          <w:lang w:val="en-US"/>
        </w:rPr>
        <w:t>K</w:t>
      </w:r>
      <w:r>
        <w:rPr>
          <w:rFonts w:ascii="Times New Roman" w:hAnsi="Times New Roman" w:cs="Times New Roman"/>
          <w:sz w:val="24"/>
          <w:szCs w:val="24"/>
        </w:rPr>
        <w:t>abupaten/</w:t>
      </w:r>
      <w:r>
        <w:rPr>
          <w:rFonts w:ascii="Times New Roman" w:hAnsi="Times New Roman" w:cs="Times New Roman"/>
          <w:sz w:val="24"/>
          <w:szCs w:val="24"/>
          <w:lang w:val="en-US"/>
        </w:rPr>
        <w:t>K</w:t>
      </w:r>
      <w:r>
        <w:rPr>
          <w:rFonts w:ascii="Times New Roman" w:hAnsi="Times New Roman" w:cs="Times New Roman"/>
          <w:sz w:val="24"/>
          <w:szCs w:val="24"/>
        </w:rPr>
        <w:t>ota masih memberlakukan</w:t>
      </w:r>
      <w:r>
        <w:rPr>
          <w:rFonts w:ascii="Times New Roman" w:hAnsi="Times New Roman" w:cs="Times New Roman"/>
          <w:sz w:val="24"/>
          <w:szCs w:val="24"/>
          <w:lang w:val="en-US"/>
        </w:rPr>
        <w:t xml:space="preserve"> </w:t>
      </w:r>
      <w:r>
        <w:rPr>
          <w:rFonts w:ascii="Times New Roman" w:hAnsi="Times New Roman" w:cs="Times New Roman"/>
          <w:sz w:val="24"/>
          <w:szCs w:val="24"/>
        </w:rPr>
        <w:t>Perda mengenai pajak daerah dan/atau retribusi daerah yang dibatalkan oleh Menteri atau dibatalkan</w:t>
      </w:r>
      <w:r>
        <w:rPr>
          <w:rFonts w:ascii="Times New Roman" w:hAnsi="Times New Roman" w:cs="Times New Roman"/>
          <w:sz w:val="24"/>
          <w:szCs w:val="24"/>
          <w:lang w:val="en-US"/>
        </w:rPr>
        <w:t xml:space="preserve"> </w:t>
      </w:r>
      <w:r>
        <w:rPr>
          <w:rFonts w:ascii="Times New Roman" w:hAnsi="Times New Roman" w:cs="Times New Roman"/>
          <w:sz w:val="24"/>
          <w:szCs w:val="24"/>
        </w:rPr>
        <w:t>oleh gubernur sebagai wakil Pemerintah Pusat, dikenai sanksi penundaan atau pemotongan DAU</w:t>
      </w:r>
      <w:r>
        <w:rPr>
          <w:rFonts w:ascii="Times New Roman" w:hAnsi="Times New Roman" w:cs="Times New Roman"/>
          <w:sz w:val="24"/>
          <w:szCs w:val="24"/>
          <w:lang w:val="en-US"/>
        </w:rPr>
        <w:t xml:space="preserve"> </w:t>
      </w:r>
      <w:r>
        <w:rPr>
          <w:rFonts w:ascii="Times New Roman" w:hAnsi="Times New Roman" w:cs="Times New Roman"/>
          <w:sz w:val="24"/>
          <w:szCs w:val="24"/>
        </w:rPr>
        <w:t>dan/atau DBH bagi Daerah bersangkutan.</w:t>
      </w:r>
    </w:p>
    <w:p>
      <w:pPr>
        <w:spacing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Apa yang dikemukakan di atas wajib dipatuhi oleh Pemda (baik Gubernur maupun Bupati/Walikota). Apa bila Perda dan Perkada yang sudah dibatalkan itu masih tetap diberlakukan, di samping Pemda dikenakan sanksi, tindakannya juga tidak syah dan/atau batal. Hal itu sesuai dengan ketentuan sebagaimana disebut dalam Pasal 1 angka 2 UU. No. 5 Tahun 1986 tentang Peradilan Tata Usaha Negara yang mengatakan, bahwa :</w:t>
      </w:r>
    </w:p>
    <w:p>
      <w:pPr>
        <w:spacing w:line="259" w:lineRule="auto"/>
        <w:ind w:left="426"/>
        <w:jc w:val="both"/>
        <w:rPr>
          <w:rFonts w:ascii="Times New Roman" w:hAnsi="Times New Roman" w:cs="Times New Roman"/>
          <w:sz w:val="24"/>
          <w:szCs w:val="24"/>
          <w:lang w:val="sv-SE"/>
        </w:rPr>
      </w:pPr>
      <w:r>
        <w:rPr>
          <w:rFonts w:ascii="Times New Roman" w:hAnsi="Times New Roman" w:cs="Times New Roman"/>
          <w:sz w:val="24"/>
          <w:szCs w:val="24"/>
          <w:lang w:val="sv-SE"/>
        </w:rPr>
        <w:t>Badan atau Pejabat Tata Usaha Negara adalah Badan atau Pejabat yang melaksanakan urusan pemerintahan berdasarkan peraturan perundang-undangan.</w:t>
      </w: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Di dalam Pasal 9 ayat UU. No. 30 Tahun 2014 juga disebutkan, bahwa :</w:t>
      </w:r>
    </w:p>
    <w:p>
      <w:pPr>
        <w:pStyle w:val="10"/>
        <w:numPr>
          <w:ilvl w:val="1"/>
          <w:numId w:val="29"/>
        </w:numPr>
        <w:spacing w:after="0" w:line="240" w:lineRule="auto"/>
        <w:ind w:left="993"/>
        <w:jc w:val="both"/>
        <w:rPr>
          <w:rFonts w:ascii="Times New Roman" w:hAnsi="Times New Roman" w:cs="Times New Roman"/>
          <w:sz w:val="24"/>
          <w:szCs w:val="24"/>
          <w:lang w:val="sv-SE"/>
        </w:rPr>
      </w:pPr>
      <w:r>
        <w:rPr>
          <w:rFonts w:ascii="Times New Roman" w:hAnsi="Times New Roman" w:cs="Times New Roman"/>
          <w:sz w:val="24"/>
          <w:szCs w:val="24"/>
          <w:lang w:val="sv-SE"/>
        </w:rPr>
        <w:t>Setiap Keputusan dan/atau Tindakan wajib berdasarkan ketentuan peraturan perundang-undangan dan AUPB.</w:t>
      </w:r>
    </w:p>
    <w:p>
      <w:pPr>
        <w:pStyle w:val="10"/>
        <w:numPr>
          <w:ilvl w:val="1"/>
          <w:numId w:val="29"/>
        </w:numPr>
        <w:spacing w:after="0" w:line="240" w:lineRule="auto"/>
        <w:ind w:left="993"/>
        <w:jc w:val="both"/>
        <w:rPr>
          <w:rFonts w:ascii="Times New Roman" w:hAnsi="Times New Roman" w:cs="Times New Roman"/>
          <w:sz w:val="24"/>
          <w:szCs w:val="24"/>
          <w:lang w:val="sv-SE"/>
        </w:rPr>
      </w:pPr>
      <w:r>
        <w:rPr>
          <w:rFonts w:ascii="Times New Roman" w:hAnsi="Times New Roman" w:cs="Times New Roman"/>
          <w:sz w:val="24"/>
          <w:szCs w:val="24"/>
          <w:lang w:val="sv-SE"/>
        </w:rPr>
        <w:t>Peraturan perundang-undangan sebagaimana dimaksud pada ayat (1) meliputi :</w:t>
      </w:r>
    </w:p>
    <w:p>
      <w:pPr>
        <w:pStyle w:val="10"/>
        <w:numPr>
          <w:ilvl w:val="1"/>
          <w:numId w:val="38"/>
        </w:numPr>
        <w:spacing w:after="0" w:line="240" w:lineRule="auto"/>
        <w:jc w:val="both"/>
        <w:rPr>
          <w:rFonts w:ascii="Times New Roman" w:hAnsi="Times New Roman" w:cs="Times New Roman"/>
          <w:sz w:val="24"/>
          <w:szCs w:val="24"/>
          <w:lang w:val="sv-SE"/>
        </w:rPr>
      </w:pPr>
      <w:r>
        <w:rPr>
          <w:rFonts w:ascii="Times New Roman" w:hAnsi="Times New Roman" w:cs="Times New Roman"/>
          <w:sz w:val="24"/>
          <w:szCs w:val="24"/>
          <w:lang w:val="sv-SE"/>
        </w:rPr>
        <w:t>Peraturan perundang-undanagan yang menjadi dasar kewenangan;dan</w:t>
      </w:r>
    </w:p>
    <w:p>
      <w:pPr>
        <w:pStyle w:val="10"/>
        <w:numPr>
          <w:ilvl w:val="1"/>
          <w:numId w:val="38"/>
        </w:numPr>
        <w:spacing w:after="0" w:line="240" w:lineRule="auto"/>
        <w:jc w:val="both"/>
        <w:rPr>
          <w:rFonts w:ascii="Times New Roman" w:hAnsi="Times New Roman" w:cs="Times New Roman"/>
          <w:sz w:val="24"/>
          <w:szCs w:val="24"/>
          <w:lang w:val="sv-SE"/>
        </w:rPr>
      </w:pPr>
      <w:r>
        <w:rPr>
          <w:rFonts w:ascii="Times New Roman" w:hAnsi="Times New Roman" w:cs="Times New Roman"/>
          <w:sz w:val="24"/>
          <w:szCs w:val="24"/>
          <w:lang w:val="sv-SE"/>
        </w:rPr>
        <w:t>Peraturan perundang-undangan yang menjadi dasar dalam menetapkan dan/atau melakukan Keputusan dan/atau Tindakan.</w:t>
      </w:r>
    </w:p>
    <w:p>
      <w:pPr>
        <w:pStyle w:val="10"/>
        <w:numPr>
          <w:ilvl w:val="1"/>
          <w:numId w:val="29"/>
        </w:numPr>
        <w:spacing w:after="0" w:line="240" w:lineRule="auto"/>
        <w:ind w:left="993"/>
        <w:jc w:val="both"/>
        <w:rPr>
          <w:rFonts w:ascii="Times New Roman" w:hAnsi="Times New Roman" w:cs="Times New Roman"/>
          <w:sz w:val="24"/>
          <w:szCs w:val="24"/>
          <w:lang w:val="sv-SE"/>
        </w:rPr>
      </w:pPr>
      <w:r>
        <w:rPr>
          <w:rFonts w:ascii="Times New Roman" w:hAnsi="Times New Roman" w:cs="Times New Roman"/>
          <w:sz w:val="24"/>
          <w:szCs w:val="24"/>
          <w:lang w:val="sv-SE"/>
        </w:rPr>
        <w:t>Badan dan/atau Pejabat Pemerintahan dalam menetapkan dan/atau melakukan Keputusan dan/atau Tindakan wajib mencantumkan atau menunjukkan ketentuan peraturan perundang-undangan yang menjadi dasar Kewenangan dan dasar dalam menetapkan dan/atau melakukan Keputusan dan /atau Tindakan.</w:t>
      </w:r>
    </w:p>
    <w:p>
      <w:pPr>
        <w:pStyle w:val="10"/>
        <w:spacing w:after="0" w:line="240" w:lineRule="auto"/>
        <w:ind w:left="993"/>
        <w:jc w:val="both"/>
        <w:rPr>
          <w:rFonts w:ascii="Times New Roman" w:hAnsi="Times New Roman" w:cs="Times New Roman"/>
          <w:sz w:val="24"/>
          <w:szCs w:val="24"/>
          <w:lang w:val="sv-SE"/>
        </w:rPr>
      </w:pP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Ketentuan di atas merupakan kaidah penuntun bagi pejabat tata usaha negara (pemerintah) dalam melakukan tindakan atau kebijakan. Hal tersebut merupakan amanah dari negara hukum dalam penyelenggaraan pemerintahan sebagaimana disebut dalam Pasal 1 ayat (3) UUD 1945. Oleh karena itu, setiap keputusan dan/atau tindakan pemerintah itu harus sesuai dengan ketentuan peraturan perundang-undangan yang berlaku dan asas-asas umum pemerintahan yang baik.</w:t>
      </w:r>
      <w:r>
        <w:rPr>
          <w:rStyle w:val="6"/>
          <w:rFonts w:ascii="Times New Roman" w:hAnsi="Times New Roman" w:cs="Times New Roman"/>
          <w:sz w:val="24"/>
          <w:szCs w:val="24"/>
          <w:lang w:val="sv-SE"/>
        </w:rPr>
        <w:footnoteReference w:id="41"/>
      </w:r>
      <w:r>
        <w:rPr>
          <w:rFonts w:ascii="Times New Roman" w:hAnsi="Times New Roman" w:cs="Times New Roman"/>
          <w:sz w:val="24"/>
          <w:szCs w:val="24"/>
          <w:lang w:val="sv-SE"/>
        </w:rPr>
        <w:t xml:space="preserve"> Sebab, seperti dikemukakan oleh Zaki Ulya bahwa dalam kebijakan selalu terkait dengan pertanggungjawaban yaitu pertanggungjawaban moral atau pertangungjawaban hukum atau kedua-duanya, yang idealnya ialah bahwa kebijakan itu dapat dipertanggungjawabkan baik secara moral maupun secara hukum.</w:t>
      </w:r>
      <w:r>
        <w:rPr>
          <w:rStyle w:val="6"/>
          <w:rFonts w:ascii="Times New Roman" w:hAnsi="Times New Roman" w:cs="Times New Roman"/>
          <w:sz w:val="24"/>
          <w:szCs w:val="24"/>
          <w:lang w:val="sv-SE"/>
        </w:rPr>
        <w:footnoteReference w:id="42"/>
      </w:r>
      <w:r>
        <w:rPr>
          <w:rFonts w:ascii="Times New Roman" w:hAnsi="Times New Roman" w:cs="Times New Roman"/>
          <w:sz w:val="24"/>
          <w:szCs w:val="24"/>
          <w:lang w:val="sv-SE"/>
        </w:rPr>
        <w:t xml:space="preserve"> Apabila hal ini dikaitkan dengan Perda yang sudah dibatalkan, adalah merupakan tanggung jawab moral dan hukum Pemda untuk tidak mempergunakannya.</w:t>
      </w: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ab/>
      </w:r>
      <w:r>
        <w:rPr>
          <w:rFonts w:ascii="Times New Roman" w:hAnsi="Times New Roman" w:cs="Times New Roman"/>
          <w:sz w:val="24"/>
          <w:szCs w:val="24"/>
          <w:lang w:val="sv-SE"/>
        </w:rPr>
        <w:t xml:space="preserve">Terkait dengan pembatalan Perda dan Perkada sebagaimana disebutkan di atas sering disebut dengan istilah </w:t>
      </w:r>
      <w:r>
        <w:rPr>
          <w:rFonts w:ascii="Times New Roman" w:hAnsi="Times New Roman" w:cs="Times New Roman"/>
          <w:i/>
          <w:sz w:val="24"/>
          <w:szCs w:val="24"/>
          <w:lang w:val="sv-SE"/>
        </w:rPr>
        <w:t>executive review.</w:t>
      </w:r>
      <w:r>
        <w:rPr>
          <w:rFonts w:ascii="Times New Roman" w:hAnsi="Times New Roman" w:cs="Times New Roman"/>
          <w:sz w:val="24"/>
          <w:szCs w:val="24"/>
          <w:lang w:val="sv-SE"/>
        </w:rPr>
        <w:t xml:space="preserve"> Fatkhurohman mengatakan bahwa e</w:t>
      </w:r>
      <w:r>
        <w:rPr>
          <w:rFonts w:ascii="Times New Roman" w:hAnsi="Times New Roman" w:cs="Times New Roman"/>
          <w:i/>
          <w:sz w:val="24"/>
          <w:szCs w:val="24"/>
          <w:lang w:val="sv-SE"/>
        </w:rPr>
        <w:t>xecutive review</w:t>
      </w:r>
      <w:r>
        <w:rPr>
          <w:rFonts w:ascii="Times New Roman" w:hAnsi="Times New Roman" w:cs="Times New Roman"/>
          <w:sz w:val="24"/>
          <w:szCs w:val="24"/>
          <w:lang w:val="sv-SE"/>
        </w:rPr>
        <w:t xml:space="preserve"> adalah pengujian Peraturan Daerah oleh Pemerintah yang lahir dari kewenangan pemerintah dalam rangka pengawasan dan pembinaan Pemerintah Pusat terhadap penyelenggaraan otonomi Pemerintah Daerah. </w:t>
      </w:r>
      <w:r>
        <w:rPr>
          <w:rFonts w:ascii="Times New Roman" w:hAnsi="Times New Roman" w:cs="Times New Roman"/>
          <w:i/>
          <w:sz w:val="24"/>
          <w:szCs w:val="24"/>
          <w:lang w:val="sv-SE"/>
        </w:rPr>
        <w:t>Executive review</w:t>
      </w:r>
      <w:r>
        <w:rPr>
          <w:rFonts w:ascii="Times New Roman" w:hAnsi="Times New Roman" w:cs="Times New Roman"/>
          <w:sz w:val="24"/>
          <w:szCs w:val="24"/>
          <w:lang w:val="sv-SE"/>
        </w:rPr>
        <w:t xml:space="preserve"> merupakan bagian dari sistem pengawasan dalam penyelenggaraan Pemerintahan Daerah, khususnya pengawasan terhadap produk legislasi daerah. Pengawasan produk legislasi (Perda) dilakukan agar materi muatan sebuah Peraturan Daerah tidak bertentangan Peraturan  perundang-undangan yang lebih tinggi dan tidak bertentangan dengan kepentingan umum</w:t>
      </w:r>
      <w:r>
        <w:rPr>
          <w:rStyle w:val="6"/>
          <w:rFonts w:ascii="Times New Roman" w:hAnsi="Times New Roman" w:cs="Times New Roman"/>
          <w:sz w:val="24"/>
          <w:szCs w:val="24"/>
          <w:lang w:val="sv-SE"/>
        </w:rPr>
        <w:footnoteReference w:id="43"/>
      </w:r>
      <w:r>
        <w:rPr>
          <w:rFonts w:ascii="Times New Roman" w:hAnsi="Times New Roman" w:cs="Times New Roman"/>
          <w:sz w:val="24"/>
          <w:szCs w:val="24"/>
          <w:lang w:val="sv-SE"/>
        </w:rPr>
        <w:t xml:space="preserve">.  </w:t>
      </w: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ab/>
      </w:r>
      <w:r>
        <w:rPr>
          <w:rFonts w:ascii="Times New Roman" w:hAnsi="Times New Roman" w:cs="Times New Roman"/>
          <w:sz w:val="24"/>
          <w:szCs w:val="24"/>
          <w:lang w:val="sv-SE"/>
        </w:rPr>
        <w:t xml:space="preserve">Terkait dengan pengujian peraturan perundang-undangan, disamping </w:t>
      </w:r>
      <w:r>
        <w:rPr>
          <w:rFonts w:ascii="Times New Roman" w:hAnsi="Times New Roman" w:cs="Times New Roman"/>
          <w:i/>
          <w:sz w:val="24"/>
          <w:szCs w:val="24"/>
          <w:lang w:val="sv-SE"/>
        </w:rPr>
        <w:t>excecutive review</w:t>
      </w:r>
      <w:r>
        <w:rPr>
          <w:rFonts w:ascii="Times New Roman" w:hAnsi="Times New Roman" w:cs="Times New Roman"/>
          <w:sz w:val="24"/>
          <w:szCs w:val="24"/>
          <w:lang w:val="sv-SE"/>
        </w:rPr>
        <w:t xml:space="preserve">, juga dikenal </w:t>
      </w:r>
      <w:r>
        <w:rPr>
          <w:rFonts w:ascii="Times New Roman" w:hAnsi="Times New Roman" w:cs="Times New Roman"/>
          <w:i/>
          <w:sz w:val="24"/>
          <w:szCs w:val="24"/>
          <w:lang w:val="sv-SE"/>
        </w:rPr>
        <w:t>judicial review</w:t>
      </w:r>
      <w:r>
        <w:rPr>
          <w:rFonts w:ascii="Times New Roman" w:hAnsi="Times New Roman" w:cs="Times New Roman"/>
          <w:sz w:val="24"/>
          <w:szCs w:val="24"/>
          <w:lang w:val="sv-SE"/>
        </w:rPr>
        <w:t xml:space="preserve"> yakni pengujian melalui jalur peradilan, dan </w:t>
      </w:r>
      <w:r>
        <w:rPr>
          <w:rFonts w:ascii="Times New Roman" w:hAnsi="Times New Roman" w:cs="Times New Roman"/>
          <w:i/>
          <w:sz w:val="24"/>
          <w:szCs w:val="24"/>
          <w:lang w:val="sv-SE"/>
        </w:rPr>
        <w:t xml:space="preserve">legislative review </w:t>
      </w:r>
      <w:r>
        <w:rPr>
          <w:rFonts w:ascii="Times New Roman" w:hAnsi="Times New Roman" w:cs="Times New Roman"/>
          <w:sz w:val="24"/>
          <w:szCs w:val="24"/>
          <w:lang w:val="sv-SE"/>
        </w:rPr>
        <w:t xml:space="preserve">yakni pengujian yang dilakuan oleh lembaga legislatif. Di Indonesia, kedua cara ini dianut. Sebagai badan peradilan yang melakukan </w:t>
      </w:r>
      <w:r>
        <w:rPr>
          <w:rFonts w:ascii="Times New Roman" w:hAnsi="Times New Roman" w:cs="Times New Roman"/>
          <w:i/>
          <w:sz w:val="24"/>
          <w:szCs w:val="24"/>
          <w:lang w:val="sv-SE"/>
        </w:rPr>
        <w:t>judicial review</w:t>
      </w:r>
      <w:r>
        <w:rPr>
          <w:rFonts w:ascii="Times New Roman" w:hAnsi="Times New Roman" w:cs="Times New Roman"/>
          <w:sz w:val="24"/>
          <w:szCs w:val="24"/>
          <w:lang w:val="sv-SE"/>
        </w:rPr>
        <w:t xml:space="preserve"> berada pada Mahkamah Agung untuk peraturan perundang-undangan di bawah Undang-Undang sesuai Pasal 24A ayat (1) UUD 1945, dan Mahkamah Konstitusi untuk pengujian Undang-Undang terhadap UUD 1945 sesuai Pasal 24C ayat (1) UUD 1945.</w:t>
      </w: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ab/>
      </w:r>
      <w:r>
        <w:rPr>
          <w:rFonts w:ascii="Times New Roman" w:hAnsi="Times New Roman" w:cs="Times New Roman"/>
          <w:sz w:val="24"/>
          <w:szCs w:val="24"/>
          <w:lang w:val="sv-SE"/>
        </w:rPr>
        <w:t xml:space="preserve">Penggunaan </w:t>
      </w:r>
      <w:r>
        <w:rPr>
          <w:rFonts w:ascii="Times New Roman" w:hAnsi="Times New Roman" w:cs="Times New Roman"/>
          <w:i/>
          <w:sz w:val="24"/>
          <w:szCs w:val="24"/>
          <w:lang w:val="sv-SE"/>
        </w:rPr>
        <w:t>legislative review</w:t>
      </w:r>
      <w:r>
        <w:rPr>
          <w:rFonts w:ascii="Times New Roman" w:hAnsi="Times New Roman" w:cs="Times New Roman"/>
          <w:sz w:val="24"/>
          <w:szCs w:val="24"/>
          <w:lang w:val="sv-SE"/>
        </w:rPr>
        <w:t xml:space="preserve"> pernah dilakukan ketika pemerintah orde baru berkuasa. Dengan alasan pemurnian pelaksanaan Pancasila dan UUD 1945 dikeluarkan dikeluarkan Ketetapan MPRS Nomor XIX/1966/MPRS tentang Peninjauan Kembali Produk-produk Legislatif Negara di Luar Produk MPRS Yang Tidak Sesuai Dengan Undang-Undang Dasar 1945. Dalam dasar pertimbangan dikeluarkannya Ketetapan MPRS ini disebutkan, bahwa :</w:t>
      </w:r>
    </w:p>
    <w:p>
      <w:pPr>
        <w:spacing w:after="0" w:line="240" w:lineRule="auto"/>
        <w:ind w:left="709"/>
        <w:jc w:val="both"/>
        <w:rPr>
          <w:rFonts w:ascii="Times New Roman" w:hAnsi="Times New Roman" w:cs="Times New Roman"/>
          <w:sz w:val="24"/>
          <w:szCs w:val="24"/>
          <w:lang w:val="sv-SE"/>
        </w:rPr>
      </w:pPr>
      <w:r>
        <w:rPr>
          <w:rFonts w:ascii="Times New Roman" w:hAnsi="Times New Roman" w:cs="Times New Roman"/>
          <w:sz w:val="24"/>
          <w:szCs w:val="24"/>
          <w:lang w:val="sv-SE"/>
        </w:rPr>
        <w:t>”Bahwa dalam rangka pemurnian pelaksanaan Undang-Undang Dasar 1945 perlu menindjau produk-produk legislatif baik jang berbentuk Penetapan-penetapan Presiden, Peraturan-peraturan Presiden, maupun jang berbentuk Undang-Undang dan Peraturan Pemerintah Pengganti Undang-Undang”.</w:t>
      </w:r>
    </w:p>
    <w:p>
      <w:pPr>
        <w:spacing w:after="0" w:line="240" w:lineRule="auto"/>
        <w:ind w:left="709"/>
        <w:jc w:val="both"/>
        <w:rPr>
          <w:rFonts w:ascii="Times New Roman" w:hAnsi="Times New Roman" w:cs="Times New Roman"/>
          <w:sz w:val="24"/>
          <w:szCs w:val="24"/>
          <w:lang w:val="sv-SE"/>
        </w:rPr>
      </w:pPr>
      <w:r>
        <w:rPr>
          <w:rFonts w:ascii="Times New Roman" w:hAnsi="Times New Roman" w:cs="Times New Roman"/>
          <w:sz w:val="24"/>
          <w:szCs w:val="24"/>
          <w:lang w:val="sv-SE"/>
        </w:rPr>
        <w:tab/>
      </w:r>
      <w:r>
        <w:rPr>
          <w:rFonts w:ascii="Times New Roman" w:hAnsi="Times New Roman" w:cs="Times New Roman"/>
          <w:sz w:val="24"/>
          <w:szCs w:val="24"/>
          <w:lang w:val="sv-SE"/>
        </w:rPr>
        <w:t xml:space="preserve"> </w:t>
      </w: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 xml:space="preserve">Berdasarkan dasar pertimbangan dikeluarkannya Ketetapan MPRS Nomor XIX/1966/MPRS dapat dikemukakan bahwa tujuan dikeluarkannya peninjauan terhadap produk-produk legislatif di luar produk MPRS adalah dalam rangka pemurnian pelaksanaan UUD 1945. Jika hal ini diperhatikan tampak dilakukan </w:t>
      </w:r>
      <w:r>
        <w:rPr>
          <w:rFonts w:ascii="Times New Roman" w:hAnsi="Times New Roman" w:cs="Times New Roman"/>
          <w:i/>
          <w:sz w:val="24"/>
          <w:szCs w:val="24"/>
          <w:lang w:val="sv-SE"/>
        </w:rPr>
        <w:t>legislative review</w:t>
      </w:r>
      <w:r>
        <w:rPr>
          <w:rFonts w:ascii="Times New Roman" w:hAnsi="Times New Roman" w:cs="Times New Roman"/>
          <w:sz w:val="24"/>
          <w:szCs w:val="24"/>
          <w:lang w:val="sv-SE"/>
        </w:rPr>
        <w:t>.</w:t>
      </w:r>
      <w:r>
        <w:rPr>
          <w:rStyle w:val="6"/>
          <w:rFonts w:ascii="Times New Roman" w:hAnsi="Times New Roman" w:cs="Times New Roman"/>
          <w:sz w:val="24"/>
          <w:szCs w:val="24"/>
          <w:lang w:val="sv-SE"/>
        </w:rPr>
        <w:footnoteReference w:id="44"/>
      </w:r>
      <w:r>
        <w:rPr>
          <w:rFonts w:ascii="Times New Roman" w:hAnsi="Times New Roman" w:cs="Times New Roman"/>
          <w:sz w:val="24"/>
          <w:szCs w:val="24"/>
          <w:lang w:val="sv-SE"/>
        </w:rPr>
        <w:t xml:space="preserve"> </w:t>
      </w: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ab/>
      </w:r>
      <w:r>
        <w:rPr>
          <w:rFonts w:ascii="Times New Roman" w:hAnsi="Times New Roman" w:cs="Times New Roman"/>
          <w:sz w:val="24"/>
          <w:szCs w:val="24"/>
          <w:lang w:val="sv-SE"/>
        </w:rPr>
        <w:t>Apabila pola peninjauan terhadap produk perundang-undangan sebagaimana disebutkan di atas dikaitkan dengan pengawasan terhadap Perda dan Perkada Kabupaten/Kota, hal itu dapat dilakukan melalui pengawasan internal dan eksternal. Pengawasan internal dilakukan oleh Gubernur ketika Perda atau Perkada masih dalam rancangan. Artinya, sebelum Perda ditetapkan, rancangannya terlebih dahulu diserahkan kepada Gubernur untuk diteliti dan dikaji apa isinya bertentangan dengan peraturan yang lebih tinggi, kepentingan umum, kesusilaan, serta kebijakan nasional (</w:t>
      </w:r>
      <w:r>
        <w:rPr>
          <w:rFonts w:ascii="Times New Roman" w:hAnsi="Times New Roman" w:cs="Times New Roman"/>
          <w:i/>
          <w:sz w:val="24"/>
          <w:szCs w:val="24"/>
          <w:lang w:val="sv-SE"/>
        </w:rPr>
        <w:t>executive review</w:t>
      </w:r>
      <w:r>
        <w:rPr>
          <w:rFonts w:ascii="Times New Roman" w:hAnsi="Times New Roman" w:cs="Times New Roman"/>
          <w:sz w:val="24"/>
          <w:szCs w:val="24"/>
          <w:lang w:val="sv-SE"/>
        </w:rPr>
        <w:t>). Cara yang kedua adalah pengawasan eksternal melalui pengujian ke Mahkamah Agung (</w:t>
      </w:r>
      <w:r>
        <w:rPr>
          <w:rFonts w:ascii="Times New Roman" w:hAnsi="Times New Roman" w:cs="Times New Roman"/>
          <w:i/>
          <w:sz w:val="24"/>
          <w:szCs w:val="24"/>
          <w:lang w:val="sv-SE"/>
        </w:rPr>
        <w:t>judicial review</w:t>
      </w:r>
      <w:r>
        <w:rPr>
          <w:rFonts w:ascii="Times New Roman" w:hAnsi="Times New Roman" w:cs="Times New Roman"/>
          <w:sz w:val="24"/>
          <w:szCs w:val="24"/>
          <w:lang w:val="sv-SE"/>
        </w:rPr>
        <w:t xml:space="preserve">). Namun, penulis lebih cenderung memilih </w:t>
      </w:r>
      <w:r>
        <w:rPr>
          <w:rFonts w:ascii="Times New Roman" w:hAnsi="Times New Roman" w:cs="Times New Roman"/>
          <w:i/>
          <w:sz w:val="24"/>
          <w:szCs w:val="24"/>
          <w:lang w:val="sv-SE"/>
        </w:rPr>
        <w:t>excekutive review</w:t>
      </w:r>
      <w:r>
        <w:rPr>
          <w:rFonts w:ascii="Times New Roman" w:hAnsi="Times New Roman" w:cs="Times New Roman"/>
          <w:sz w:val="24"/>
          <w:szCs w:val="24"/>
          <w:lang w:val="sv-SE"/>
        </w:rPr>
        <w:t xml:space="preserve">, dengan alasan cara ini lebih efektif dan cepat. Cara inipun akan menjaga keharmonisan antara Pemerintah Pusat dengan Pemerintah Daerah. </w:t>
      </w:r>
    </w:p>
    <w:p>
      <w:pPr>
        <w:spacing w:after="0" w:line="360" w:lineRule="auto"/>
        <w:jc w:val="both"/>
        <w:rPr>
          <w:rFonts w:ascii="Times New Roman" w:hAnsi="Times New Roman" w:cs="Times New Roman"/>
          <w:sz w:val="24"/>
          <w:szCs w:val="24"/>
          <w:lang w:val="sv-SE"/>
        </w:rPr>
      </w:pPr>
    </w:p>
    <w:p>
      <w:pPr>
        <w:numPr>
          <w:ilvl w:val="0"/>
          <w:numId w:val="35"/>
        </w:numPr>
        <w:spacing w:after="0" w:line="360" w:lineRule="auto"/>
        <w:ind w:left="660" w:leftChars="0" w:hanging="360" w:firstLineChars="0"/>
        <w:jc w:val="both"/>
        <w:rPr>
          <w:rFonts w:ascii="Times New Roman" w:hAnsi="Times New Roman" w:cs="Times New Roman"/>
          <w:sz w:val="24"/>
          <w:szCs w:val="24"/>
          <w:lang w:val="sv-SE"/>
        </w:rPr>
      </w:pPr>
      <w:r>
        <w:rPr>
          <w:rFonts w:ascii="Times New Roman" w:hAnsi="Times New Roman" w:cs="Times New Roman"/>
          <w:b/>
          <w:sz w:val="24"/>
          <w:szCs w:val="24"/>
          <w:lang w:val="sv-SE"/>
        </w:rPr>
        <w:t>Pembatalan Perda dan Perkada Setelah Putusan Mahkamah  Konstitusi</w:t>
      </w:r>
      <w:r>
        <w:rPr>
          <w:rFonts w:ascii="Times New Roman" w:hAnsi="Times New Roman" w:cs="Times New Roman"/>
          <w:b/>
          <w:sz w:val="24"/>
          <w:szCs w:val="24"/>
        </w:rPr>
        <w:t xml:space="preserve"> No. 137/PUU-XIII/2015</w:t>
      </w:r>
    </w:p>
    <w:p>
      <w:pPr>
        <w:spacing w:after="0" w:line="360" w:lineRule="auto"/>
        <w:ind w:firstLine="720"/>
        <w:jc w:val="both"/>
        <w:rPr>
          <w:rFonts w:ascii="Times New Roman" w:hAnsi="Times New Roman" w:cs="Times New Roman"/>
          <w:sz w:val="24"/>
          <w:szCs w:val="24"/>
          <w:lang w:val="sv-SE"/>
        </w:rPr>
      </w:pPr>
      <w:r>
        <w:rPr>
          <w:rFonts w:ascii="Times New Roman" w:hAnsi="Times New Roman" w:cs="Times New Roman"/>
          <w:color w:val="000000"/>
          <w:sz w:val="24"/>
          <w:szCs w:val="24"/>
        </w:rPr>
        <w:t xml:space="preserve">Pada pembahasan di atas telah dikemukakan sesuai Pasal 251 UU No. 23 Tahun 2014 bahwa Menteri membatalkan </w:t>
      </w:r>
      <w:r>
        <w:rPr>
          <w:rFonts w:ascii="Times New Roman" w:hAnsi="Times New Roman" w:cs="Times New Roman"/>
          <w:sz w:val="24"/>
          <w:szCs w:val="24"/>
          <w:lang w:val="sv-SE"/>
        </w:rPr>
        <w:t>Perda Provinsi dan Peraturan Gubernur yang bertentangan dengan ketentuan perundang-undangan yang lebih tinggi, kepentingan umum, dan/atau kesusilaan. Begitu juga dengan Perda Kabupaten/Kota dan Peraturan Bupati/Walikota yang bertentangan dengan ketentuan perundang-undangan yang lebih tinggi, kepentingan umum, dan/atau kesusilaan dibatalkan oleh Gubernur sebagai wakil Pemerintah Pusat. Terhadap ketentuan Pasal 251 di atas ternyata Pemerintah Daerah merasa keberatan. Atas dasar itu, mereka mengajukan pengujian ke Mahkamah Konstitusi. Para pemohon di dalam permohonan perkara</w:t>
      </w:r>
      <w:r>
        <w:rPr>
          <w:rFonts w:ascii="Times New Roman" w:hAnsi="Times New Roman" w:cs="Times New Roman"/>
          <w:color w:val="000000"/>
          <w:sz w:val="24"/>
          <w:szCs w:val="24"/>
        </w:rPr>
        <w:t xml:space="preserve"> No. 137/PUU-XIII/2015, </w:t>
      </w:r>
      <w:r>
        <w:rPr>
          <w:rFonts w:ascii="Times New Roman" w:hAnsi="Times New Roman" w:cs="Times New Roman"/>
          <w:sz w:val="24"/>
          <w:szCs w:val="24"/>
          <w:lang w:val="sv-SE"/>
        </w:rPr>
        <w:t xml:space="preserve"> antara lain mengatakan, bahwa :</w:t>
      </w:r>
    </w:p>
    <w:p>
      <w:pPr>
        <w:pStyle w:val="10"/>
        <w:numPr>
          <w:ilvl w:val="0"/>
          <w:numId w:val="39"/>
        </w:numPr>
        <w:spacing w:line="240" w:lineRule="auto"/>
        <w:jc w:val="both"/>
        <w:rPr>
          <w:rFonts w:ascii="Times New Roman" w:hAnsi="Times New Roman" w:cs="Times New Roman"/>
          <w:b/>
          <w:sz w:val="24"/>
          <w:szCs w:val="24"/>
          <w:lang w:val="sv-SE"/>
        </w:rPr>
      </w:pPr>
      <w:r>
        <w:rPr>
          <w:rFonts w:ascii="Times New Roman" w:hAnsi="Times New Roman" w:cs="Times New Roman"/>
          <w:b/>
          <w:sz w:val="24"/>
          <w:szCs w:val="24"/>
          <w:lang w:val="sv-SE"/>
        </w:rPr>
        <w:t xml:space="preserve">PASAL 251 AYAT (2), AYAT (3),  AYAT (8),  DAN AYAT (4)  SEPANJANG FRASA </w:t>
      </w:r>
    </w:p>
    <w:p>
      <w:pPr>
        <w:spacing w:line="240" w:lineRule="auto"/>
        <w:ind w:left="720"/>
        <w:jc w:val="both"/>
        <w:rPr>
          <w:rFonts w:ascii="Times New Roman" w:hAnsi="Times New Roman" w:cs="Times New Roman"/>
          <w:b/>
          <w:sz w:val="24"/>
          <w:szCs w:val="24"/>
          <w:lang w:val="sv-SE"/>
        </w:rPr>
      </w:pPr>
      <w:r>
        <w:rPr>
          <w:rFonts w:ascii="Times New Roman" w:hAnsi="Times New Roman" w:cs="Times New Roman"/>
          <w:b/>
          <w:sz w:val="24"/>
          <w:szCs w:val="24"/>
          <w:lang w:val="sv-SE"/>
        </w:rPr>
        <w:t>”.... PEMBATALAN PERDA KABUPATEN/KOTA DAN PERATURAN BUPATI/WALIKOTA SEBAGAIMANA DIMAKSUD PADA AYAT (2) DITETAPKAN DENGAN KEPUTUSAN GUBERNUR SEBAGAI WAKIL PEMERINTAH PUSAT...” UNDANG-UNDANG NOMOR 23 TAHUN 2014 BERTENTANGAN DENGAN PASAL 18 AYAT (6) JUNCTIS PASAL 28D AYAT (1) DAN PASAL 24 A AYAT (1) UUD 1945.</w:t>
      </w:r>
    </w:p>
    <w:p>
      <w:pPr>
        <w:spacing w:line="240" w:lineRule="auto"/>
        <w:ind w:left="720"/>
        <w:jc w:val="both"/>
        <w:rPr>
          <w:rFonts w:ascii="Times New Roman" w:hAnsi="Times New Roman" w:cs="Times New Roman"/>
          <w:sz w:val="24"/>
          <w:szCs w:val="24"/>
          <w:lang w:val="sv-SE"/>
        </w:rPr>
      </w:pPr>
      <w:r>
        <w:rPr>
          <w:rFonts w:ascii="Times New Roman" w:hAnsi="Times New Roman" w:cs="Times New Roman"/>
          <w:sz w:val="24"/>
          <w:szCs w:val="24"/>
          <w:lang w:val="sv-SE"/>
        </w:rPr>
        <w:t>Bahwa ketentuan Pasal 251 ayat (2), ayat (3), ayat (8), dan ayat (4) sepanjang frasa ”pembatalan” perda kabupaten/kota dan peraturan Bupati/Walikota sebagaimana dimaksud pada ayat (2) ditetapkan dengan keputusan gubernur sebagai wakil pemerintah pusat ” Undang-Undang Nomor 23 tahun 2014 bertentangan dengan konstitusi, khususnya bertentangan dengan Pasal 18 ayat (6) UUD 1945 yaitu, ”pemerintahan daerah berhak menetapkan peraturan daerah dan peraturan-peraturan lain untuk melaksakan otonomi dan tugas pembantuan”. Dan Pasal 28D ayat (1) UUD 1945 yaitu. ”setiap orang berhak atas pengakuan, jaminan, perlindungan dan kepastian hukum yang adil serta perlakuan yang sama dihadapan hukum”, serta Pasal 24A ayat (1) tentang kewenangan konstisituonal Mahkamah Agung dengan dasar pertimbangan hukum sebagai berikut :</w:t>
      </w:r>
    </w:p>
    <w:p>
      <w:pPr>
        <w:pStyle w:val="10"/>
        <w:numPr>
          <w:ilvl w:val="0"/>
          <w:numId w:val="40"/>
        </w:numPr>
        <w:spacing w:line="240" w:lineRule="auto"/>
        <w:ind w:left="1080"/>
        <w:jc w:val="both"/>
        <w:rPr>
          <w:rFonts w:ascii="Times New Roman" w:hAnsi="Times New Roman" w:cs="Times New Roman"/>
          <w:sz w:val="24"/>
          <w:szCs w:val="24"/>
          <w:lang w:val="sv-SE"/>
        </w:rPr>
      </w:pPr>
      <w:r>
        <w:rPr>
          <w:rFonts w:ascii="Times New Roman" w:hAnsi="Times New Roman" w:cs="Times New Roman"/>
          <w:sz w:val="24"/>
          <w:szCs w:val="24"/>
          <w:lang w:val="sv-SE"/>
        </w:rPr>
        <w:t>Bahwa Pasal 251 ayat (2), ayat (3), ayat (8), dan ayat (4) pembatalan” perda kabupaten/kota dan peraturan Bupati/Walikota sebagaimana dimaksud pada ayat (2) ditetapkan dengan keputusan gubernur sebagai wakil pemerintah pusat ” undang-undang Nomor 23 tahun 2014 mengandung norma bahwa Peraturan Daerah atau peraturan kepala daerah yang telah ditetapkan oleh pemerintah kabupaten/kota yang dianggap bertentangan dengan ketentuan peraturan perundang-undangan yang lebih tinggi, kepentingan umum dan/atau kesusilaan oleh gubernur sebagai wakil pemerintah pusat;</w:t>
      </w:r>
    </w:p>
    <w:p>
      <w:pPr>
        <w:pStyle w:val="10"/>
        <w:numPr>
          <w:ilvl w:val="0"/>
          <w:numId w:val="40"/>
        </w:numPr>
        <w:spacing w:line="240" w:lineRule="auto"/>
        <w:ind w:left="1080"/>
        <w:jc w:val="both"/>
        <w:rPr>
          <w:rFonts w:ascii="Times New Roman" w:hAnsi="Times New Roman" w:cs="Times New Roman"/>
          <w:sz w:val="24"/>
          <w:szCs w:val="24"/>
          <w:lang w:val="sv-SE"/>
        </w:rPr>
      </w:pPr>
      <w:r>
        <w:rPr>
          <w:rFonts w:ascii="Times New Roman" w:hAnsi="Times New Roman" w:cs="Times New Roman"/>
          <w:sz w:val="24"/>
          <w:szCs w:val="24"/>
          <w:lang w:val="sv-SE"/>
        </w:rPr>
        <w:t>Bahwa terhadap pembatalan tersebut, pemerintah kabupaten/kota dapat mengajukan keberatan ke menteri dalam jangka waktu 14 hari setelah keputusan pembatalan diterima oleh pemerintah daerah kabupaten/kota;</w:t>
      </w:r>
    </w:p>
    <w:p>
      <w:pPr>
        <w:pStyle w:val="10"/>
        <w:numPr>
          <w:ilvl w:val="0"/>
          <w:numId w:val="40"/>
        </w:numPr>
        <w:spacing w:line="240" w:lineRule="auto"/>
        <w:ind w:left="1080"/>
        <w:jc w:val="both"/>
        <w:rPr>
          <w:rFonts w:ascii="Times New Roman" w:hAnsi="Times New Roman" w:cs="Times New Roman"/>
          <w:sz w:val="24"/>
          <w:szCs w:val="24"/>
          <w:lang w:val="sv-SE"/>
        </w:rPr>
      </w:pPr>
      <w:r>
        <w:rPr>
          <w:rFonts w:ascii="Times New Roman" w:hAnsi="Times New Roman" w:cs="Times New Roman"/>
          <w:sz w:val="24"/>
          <w:szCs w:val="24"/>
          <w:lang w:val="sv-SE"/>
        </w:rPr>
        <w:t>Bahwa sebagaimana diatur di dalam Undang-Undang Nomor 23 tahun 2014, Pemerintah Daerah Kabupaten/Kota sangat sulit untuk melakukan penambahan atau perubahan kewenangan terkait kebutuhan Pemerintah Daerah dalam urusan pemerintah konkuren yang dianggap merupakan bagian penting dari otonomi daerah. Penambahan atau perubahan Kewenangan untuk urusan pemerintah konkuren hanya dapat dilakukan berdasarkan peraturan presiden atau peraturan pemerintah. Karenanya pemerintah daerah akan menggunakan hak yang lain sebagaimana dijamin oleh Undang-Undang a quo untuk menetapkan kewenangan dibidang urusan pemerintah konkuren. Sampai disini nampaknya Pemerintah Daerah memiliki kewenangan untuk menetapkan peraturan daerah sebagaimana dijamin oleh Pasal 18 ayat (6) UUD 1945. Namun ternyata faktanya keliru. Karena Pemerintah pusat melalui gubernur dapat kapan saja membatalkan peraturan daerah dan peraturan kepala daerah bila dinilai bertentangan dengan ketentuan peraturan perundang-undangan yang lebih tinggi, kepentingan umum dan/atau kesusilaan dibatalkan. Pembatalan tersebut hanya bersifat Executive Review bukan Judicial Review, yang mana bupati atau walikota hanya bisa mangajukan keberatan, bukan banding kepada menteri</w:t>
      </w:r>
    </w:p>
    <w:p>
      <w:pPr>
        <w:pStyle w:val="10"/>
        <w:numPr>
          <w:ilvl w:val="0"/>
          <w:numId w:val="40"/>
        </w:numPr>
        <w:spacing w:line="240" w:lineRule="auto"/>
        <w:ind w:left="1080"/>
        <w:jc w:val="both"/>
        <w:rPr>
          <w:rFonts w:ascii="Times New Roman" w:hAnsi="Times New Roman" w:cs="Times New Roman"/>
          <w:sz w:val="24"/>
          <w:szCs w:val="24"/>
          <w:lang w:val="sv-SE"/>
        </w:rPr>
      </w:pPr>
      <w:r>
        <w:rPr>
          <w:rFonts w:ascii="Times New Roman" w:hAnsi="Times New Roman" w:cs="Times New Roman"/>
          <w:sz w:val="24"/>
          <w:szCs w:val="24"/>
          <w:lang w:val="sv-SE"/>
        </w:rPr>
        <w:t>Bahwa terhadap alasan pembatalan , ”bertentangan dengan kepentingan umum atau bertengan dengan kesusilaan tentu dapat dipahami namun alasan pembatalan bertentagan dengan ketentuan peraturan perundang-undangan yang lebih tinggi meninbulkan kerancuan tersendiri. Karena berdasarkan UU Nomor 23 tahun 2014, Pemerintah pusat menetapkan norma, standar, prosedur, dan kriteria yang telah pemerintah pusat tetapkan. Sementara itu proses keberatan/banding dilakukan terhadap pemerintah yang membatalkan. Walhasil, pemerintah kabupaten/kota tidak bisa membuat perda dan perkada berkenaan dengan urusan pemerintah konkuren yang tidak ia miliki. Dengan kata lain, hak konstisional Bupati/Walikota dan DPRD sebagaimana dijamin dalam Pasal 18 ayat (6) UUD 1945 yang menyebutkan bahwa ”Pemerintah Daerah berhak menetapkan Peraturan Daerah dan peraturan-peratuan lain untuk melaksanakan otonomi daerah dan tugas pembantuan ” dimana pada akhirnya nilai otonomi seluas-luasnya kecuali urusan pemerintah yang oleh Undang-Undang ditentukan sebagai urusan pemerintah pusat;</w:t>
      </w:r>
    </w:p>
    <w:p>
      <w:pPr>
        <w:pStyle w:val="10"/>
        <w:numPr>
          <w:ilvl w:val="0"/>
          <w:numId w:val="40"/>
        </w:numPr>
        <w:spacing w:line="240" w:lineRule="auto"/>
        <w:ind w:left="1080"/>
        <w:jc w:val="both"/>
        <w:rPr>
          <w:rFonts w:ascii="Times New Roman" w:hAnsi="Times New Roman" w:cs="Times New Roman"/>
          <w:sz w:val="24"/>
          <w:szCs w:val="24"/>
          <w:lang w:val="sv-SE"/>
        </w:rPr>
      </w:pPr>
      <w:r>
        <w:rPr>
          <w:rFonts w:ascii="Times New Roman" w:hAnsi="Times New Roman" w:cs="Times New Roman"/>
          <w:sz w:val="24"/>
          <w:szCs w:val="24"/>
          <w:lang w:val="sv-SE"/>
        </w:rPr>
        <w:t>Bahwa mekanisme pembatalan Perda dan Perkada yang ditentukan oleh UU a quo melalui gubernur serta pengajuan keberatan kepada Meteri bertentangan dengan Pasal 31 UU Nomor 5 Tahun 2004 tentang perubahan atas UU Nomor 14 Tahun 1985 tentang Mahkamah Agung junctis UU Nomor 3 Tahun 2009 tentang Perubahan Kedua UU Nomor 14 tahun 1985 tentang Mahkamah Agung dan UU nomor 12 tahun 2011 tentang Pembetukan Peraturan Perundang-undangan yang mana menyebutkan bahwa peraturan di bawah Undang-Undang dapat diuji keabsahannya bila bertengan dengan Undang-Undang ke Mahkamah Agung. Bahwa dengan demikian tercipta ketidakpastian hukum dan dan karenanya bertentangan dengan Pasal 28D ayat (1) UUD 1945.</w:t>
      </w:r>
    </w:p>
    <w:p>
      <w:pPr>
        <w:pStyle w:val="10"/>
        <w:numPr>
          <w:ilvl w:val="0"/>
          <w:numId w:val="40"/>
        </w:numPr>
        <w:spacing w:line="240" w:lineRule="auto"/>
        <w:ind w:left="1080"/>
        <w:jc w:val="both"/>
        <w:rPr>
          <w:rFonts w:ascii="Times New Roman" w:hAnsi="Times New Roman" w:cs="Times New Roman"/>
          <w:sz w:val="24"/>
          <w:szCs w:val="24"/>
          <w:lang w:val="sv-SE"/>
        </w:rPr>
      </w:pPr>
      <w:r>
        <w:rPr>
          <w:rFonts w:ascii="Times New Roman" w:hAnsi="Times New Roman" w:cs="Times New Roman"/>
          <w:sz w:val="24"/>
          <w:szCs w:val="24"/>
          <w:lang w:val="sv-SE"/>
        </w:rPr>
        <w:t>Bahwa mekanisme pengujian sebuah peraturan di bawah Undang-Undang yang bertengan dengan Undang-Undang ke Mahkamah Agung semata-mata bertujuan untuk menegakkan prinsip dan cita demokrasi dan negara hukum  (</w:t>
      </w:r>
      <w:r>
        <w:rPr>
          <w:rFonts w:ascii="Times New Roman" w:hAnsi="Times New Roman" w:cs="Times New Roman"/>
          <w:i/>
          <w:sz w:val="24"/>
          <w:szCs w:val="24"/>
          <w:lang w:val="sv-SE"/>
        </w:rPr>
        <w:t>rechstaat</w:t>
      </w:r>
      <w:r>
        <w:rPr>
          <w:rFonts w:ascii="Times New Roman" w:hAnsi="Times New Roman" w:cs="Times New Roman"/>
          <w:sz w:val="24"/>
          <w:szCs w:val="24"/>
          <w:lang w:val="sv-SE"/>
        </w:rPr>
        <w:t>). Di mana hukum sebagai panglima tertinggi bukan kekuasaan. Hal ini tentu menjadi preseden dimana negara hukum (</w:t>
      </w:r>
      <w:r>
        <w:rPr>
          <w:rFonts w:ascii="Times New Roman" w:hAnsi="Times New Roman" w:cs="Times New Roman"/>
          <w:i/>
          <w:sz w:val="24"/>
          <w:szCs w:val="24"/>
          <w:lang w:val="sv-SE"/>
        </w:rPr>
        <w:t>rechstaat</w:t>
      </w:r>
      <w:r>
        <w:rPr>
          <w:rFonts w:ascii="Times New Roman" w:hAnsi="Times New Roman" w:cs="Times New Roman"/>
          <w:sz w:val="24"/>
          <w:szCs w:val="24"/>
          <w:lang w:val="sv-SE"/>
        </w:rPr>
        <w:t>) yang menjadi dasar Negara Kesatuan Republik Indonesia bergeser ke Negara kekuasaan (</w:t>
      </w:r>
      <w:r>
        <w:rPr>
          <w:rFonts w:ascii="Times New Roman" w:hAnsi="Times New Roman" w:cs="Times New Roman"/>
          <w:i/>
          <w:sz w:val="24"/>
          <w:szCs w:val="24"/>
          <w:lang w:val="sv-SE"/>
        </w:rPr>
        <w:t>maaschstaat</w:t>
      </w:r>
      <w:r>
        <w:rPr>
          <w:rFonts w:ascii="Times New Roman" w:hAnsi="Times New Roman" w:cs="Times New Roman"/>
          <w:sz w:val="24"/>
          <w:szCs w:val="24"/>
          <w:lang w:val="sv-SE"/>
        </w:rPr>
        <w:t>);</w:t>
      </w:r>
    </w:p>
    <w:p>
      <w:pPr>
        <w:pStyle w:val="10"/>
        <w:numPr>
          <w:ilvl w:val="0"/>
          <w:numId w:val="40"/>
        </w:numPr>
        <w:spacing w:line="240" w:lineRule="auto"/>
        <w:ind w:left="1080"/>
        <w:jc w:val="both"/>
        <w:rPr>
          <w:rFonts w:ascii="Times New Roman" w:hAnsi="Times New Roman" w:cs="Times New Roman"/>
          <w:sz w:val="24"/>
          <w:szCs w:val="24"/>
          <w:lang w:val="sv-SE"/>
        </w:rPr>
      </w:pPr>
      <w:r>
        <w:rPr>
          <w:rFonts w:ascii="Times New Roman" w:hAnsi="Times New Roman" w:cs="Times New Roman"/>
          <w:sz w:val="24"/>
          <w:szCs w:val="24"/>
          <w:lang w:val="sv-SE"/>
        </w:rPr>
        <w:t>Bahwa karena hak pembuatan produk perundang-undangan oleh pemerintah daerah adalah sebuah hak yang diberikan secara langsung oleh Konstitusi dalam Pasal 18 ayat (6), maka sudah seharusnya hak tersebut hanya dapat dibatalkan oleh lembaga Negara yang diberikan kewenangannya oleh konstitusi pula yakni Mahkamah Agung sebagai pemegang dan pelaksana kekuasaan kehakiman sebagai dimaksud pada Pasal 24A ayat (1), yakni hanya Mahkamah Agung yang diberikan kewenangan mengadili pada tingkat kasasi, menguji peraturan perundang-undangan di bawah Undang-Undang terhadap Undang-Undang. Oleh karenanya hanya Mahkamah Agung-lah yang berhak membatalkan atau mengadili permohonan pembatalan terhadap Perda bukan lembaga lainnya;</w:t>
      </w:r>
    </w:p>
    <w:p>
      <w:pPr>
        <w:pStyle w:val="10"/>
        <w:numPr>
          <w:ilvl w:val="0"/>
          <w:numId w:val="40"/>
        </w:numPr>
        <w:spacing w:line="240" w:lineRule="auto"/>
        <w:ind w:left="1080"/>
        <w:jc w:val="both"/>
        <w:rPr>
          <w:rFonts w:ascii="Times New Roman" w:hAnsi="Times New Roman" w:cs="Times New Roman"/>
          <w:sz w:val="24"/>
          <w:szCs w:val="24"/>
          <w:lang w:val="sv-SE"/>
        </w:rPr>
      </w:pPr>
      <w:r>
        <w:rPr>
          <w:rFonts w:ascii="Times New Roman" w:hAnsi="Times New Roman" w:cs="Times New Roman"/>
          <w:sz w:val="24"/>
          <w:szCs w:val="24"/>
          <w:lang w:val="sv-SE"/>
        </w:rPr>
        <w:t>Bahwa karenanya sah dan beralasan bila mahkamah konstitusi menyatakan Pasal 251 ayat (2), ayat (3), ayat (8), dan ayat (4) pembatalan” perda kabupaten/kota dan peraturan Bupati/Walikota sebagaimana dimaksud pada ayat (2) ditetapkan dengan keputusan gubernur sebaga wakil pemerintah pusat ” Undang-Undang Nomor 23 tahun 2014 tentang Pemerintahan Daerah bertengan dengan Pasal 18 ayat (6) Pasal 28D (1), dan Pasal 24A ayat (1) UUD 1945</w:t>
      </w:r>
    </w:p>
    <w:p>
      <w:pPr>
        <w:spacing w:after="0" w:line="240" w:lineRule="auto"/>
        <w:ind w:left="1080"/>
        <w:jc w:val="both"/>
        <w:rPr>
          <w:rFonts w:ascii="Times New Roman" w:hAnsi="Times New Roman" w:cs="Times New Roman"/>
          <w:sz w:val="24"/>
          <w:szCs w:val="24"/>
          <w:lang w:val="sv-SE"/>
        </w:rPr>
      </w:pPr>
      <w:r>
        <w:rPr>
          <w:rFonts w:ascii="Times New Roman" w:hAnsi="Times New Roman" w:cs="Times New Roman"/>
          <w:sz w:val="24"/>
          <w:szCs w:val="24"/>
          <w:lang w:val="sv-SE"/>
        </w:rPr>
        <w:t>Bahwa karenanya sah dan berlasan hukum bila mahkamah konstitusi menyatakan batal dan tidak mempunyai kekuatan hukum yang mengikat Pasal 251 ayat (2), ayat (3), ayat (8), dan ayat (4) sepanjang frasa ”pembatalan” perda kabupaten/kota dan peraturan Bupati/Walikota sebagaimana dimaksud pada ayat (2) ditetapkan dengan keputusan gubernur sebaga wakil pemerintah pusat ” Undang-Undang Nomor 23 Tahun 2014 tentang Pemerintah Daerah;</w:t>
      </w:r>
    </w:p>
    <w:p>
      <w:pPr>
        <w:spacing w:after="0" w:line="240" w:lineRule="auto"/>
        <w:ind w:left="1080"/>
        <w:jc w:val="both"/>
        <w:rPr>
          <w:rFonts w:ascii="Times New Roman" w:hAnsi="Times New Roman" w:cs="Times New Roman"/>
          <w:sz w:val="24"/>
          <w:szCs w:val="24"/>
          <w:lang w:val="sv-SE"/>
        </w:rPr>
      </w:pPr>
    </w:p>
    <w:p>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Terhadap permohonan sebagaimana disebutkan di atas, dalam putusan Mahkamah Konstitusi No. 137/PUU-XIII/2015, yang antara lain amar putusannya berbunyi :</w:t>
      </w:r>
    </w:p>
    <w:p>
      <w:pPr>
        <w:pStyle w:val="10"/>
        <w:numPr>
          <w:ilvl w:val="0"/>
          <w:numId w:val="41"/>
        </w:numPr>
        <w:spacing w:after="0"/>
        <w:jc w:val="both"/>
        <w:rPr>
          <w:rFonts w:ascii="Times New Roman" w:hAnsi="Times New Roman" w:cs="Times New Roman"/>
          <w:sz w:val="24"/>
          <w:szCs w:val="24"/>
        </w:rPr>
      </w:pPr>
      <w:r>
        <w:rPr>
          <w:rFonts w:ascii="Times New Roman" w:hAnsi="Times New Roman" w:cs="Times New Roman"/>
          <w:sz w:val="24"/>
          <w:szCs w:val="24"/>
        </w:rPr>
        <w:t>Menyatakan permohonan Pemohon I, Pemohon VIII, Pemohon XVIII, Pemohon XIX, Pemohon XXI, Pemohon XXIII, Pemohon XXIV, Pemohon XXXVI, Pemohon XL, sampai dengan Pemohon XLVII, tidak dapat diterima;</w:t>
      </w:r>
    </w:p>
    <w:p>
      <w:pPr>
        <w:pStyle w:val="10"/>
        <w:numPr>
          <w:ilvl w:val="0"/>
          <w:numId w:val="41"/>
        </w:numPr>
        <w:spacing w:after="0"/>
        <w:jc w:val="both"/>
        <w:rPr>
          <w:rFonts w:ascii="Times New Roman" w:hAnsi="Times New Roman" w:cs="Times New Roman"/>
          <w:sz w:val="24"/>
          <w:szCs w:val="24"/>
        </w:rPr>
      </w:pPr>
      <w:r>
        <w:rPr>
          <w:rFonts w:ascii="Times New Roman" w:hAnsi="Times New Roman" w:cs="Times New Roman"/>
          <w:sz w:val="24"/>
          <w:szCs w:val="24"/>
        </w:rPr>
        <w:t>Menyatakan permohonan Pemohom II sampai dengan Pemohon VI, Pemohon IX sampai dengan Pemohon XXIX, Pemohon XXXI sampai dengan Pemohon XXXV, dan Pemohon XXXVII sampai dengan Pemohon XXXIX sepanjang pengujian Pasal 9; Pasal 11; Pasal 12; Pasal 13; Pasal 14 ayat (1), ayat (2), ayat (3), dan ayat (4); Pasal 15; Pasal 16 ayat (1) dan ayat (2); Pasal 17 ayat (1), ayat (2), dan ayat (3); Pasal 21; Pasal 27 ayat (1) dan ayat (2); Pasal 28 ayat (1) dan ayat (2) Undang-Undang Nomor 23 Tahun 2014 tentang Pemerintahan Daerah (Lembaran Negara Republik Indonesia Tahun 2014 Nomor 244 Tambahan Negara Republik Indonesia Nomor 5587), tidak dapat diterima;</w:t>
      </w:r>
    </w:p>
    <w:p>
      <w:pPr>
        <w:pStyle w:val="10"/>
        <w:numPr>
          <w:ilvl w:val="0"/>
          <w:numId w:val="41"/>
        </w:numPr>
        <w:spacing w:after="0"/>
        <w:jc w:val="both"/>
        <w:rPr>
          <w:rFonts w:ascii="Times New Roman" w:hAnsi="Times New Roman" w:cs="Times New Roman"/>
          <w:sz w:val="24"/>
          <w:szCs w:val="24"/>
        </w:rPr>
      </w:pPr>
      <w:r>
        <w:rPr>
          <w:rFonts w:ascii="Times New Roman" w:hAnsi="Times New Roman" w:cs="Times New Roman"/>
          <w:sz w:val="24"/>
          <w:szCs w:val="24"/>
        </w:rPr>
        <w:t>Mengabulkan permohonan Pemohon II sampai dengan Pemohon VII, Pemohon XXV sampai dengan Pemohon XXXV, dan Pemohon XXXVII sampai dengan Pemohon XXXIX sepanjang pengujian Pasal 251 ayat (2), ayat (3), dan ayat (8) serta ayat (4) sepanjang frasa “</w:t>
      </w:r>
      <w:r>
        <w:rPr>
          <w:rFonts w:ascii="Times New Roman" w:hAnsi="Times New Roman" w:cs="Times New Roman"/>
          <w:i/>
          <w:iCs/>
          <w:sz w:val="24"/>
          <w:szCs w:val="24"/>
        </w:rPr>
        <w:t>...pembatalan Perda Kabupaten/Kota dan peraturan bupati/wali kota sebagaimana dimaksud pada ayat (2) ditetapkan dengan keputusan gubernur sebagai wakil Pemerintah Pusat</w:t>
      </w:r>
      <w:r>
        <w:rPr>
          <w:rFonts w:ascii="Times New Roman" w:hAnsi="Times New Roman" w:cs="Times New Roman"/>
          <w:sz w:val="24"/>
          <w:szCs w:val="24"/>
        </w:rPr>
        <w:t>” Undang-Undang Nomor 23 Tahun 2014 tentang Pemerintahan Daerah (Lembaran Negara Republik Indonesia Tahun 2014 Nomor 244 Tambahan Negara Republik Indonesia Nomor 5587);</w:t>
      </w:r>
    </w:p>
    <w:p>
      <w:pPr>
        <w:pStyle w:val="10"/>
        <w:numPr>
          <w:ilvl w:val="0"/>
          <w:numId w:val="41"/>
        </w:numPr>
        <w:spacing w:after="0"/>
        <w:jc w:val="both"/>
        <w:rPr>
          <w:rFonts w:ascii="Times New Roman" w:hAnsi="Times New Roman" w:cs="Times New Roman"/>
          <w:sz w:val="24"/>
          <w:szCs w:val="24"/>
        </w:rPr>
      </w:pPr>
      <w:r>
        <w:rPr>
          <w:rFonts w:ascii="Times New Roman" w:hAnsi="Times New Roman" w:cs="Times New Roman"/>
          <w:sz w:val="24"/>
          <w:szCs w:val="24"/>
        </w:rPr>
        <w:t>Menyatakan frasa “</w:t>
      </w:r>
      <w:r>
        <w:rPr>
          <w:rFonts w:ascii="Times New Roman" w:hAnsi="Times New Roman" w:cs="Times New Roman"/>
          <w:i/>
          <w:iCs/>
          <w:sz w:val="24"/>
          <w:szCs w:val="24"/>
        </w:rPr>
        <w:t>Perda Kabupaten/Kota dan</w:t>
      </w:r>
      <w:r>
        <w:rPr>
          <w:rFonts w:ascii="Times New Roman" w:hAnsi="Times New Roman" w:cs="Times New Roman"/>
          <w:sz w:val="24"/>
          <w:szCs w:val="24"/>
        </w:rPr>
        <w:t>” dalam Pasal 251 ayat (2) dan ayat (4), frasa “</w:t>
      </w:r>
      <w:r>
        <w:rPr>
          <w:rFonts w:ascii="Times New Roman" w:hAnsi="Times New Roman" w:cs="Times New Roman"/>
          <w:i/>
          <w:iCs/>
          <w:sz w:val="24"/>
          <w:szCs w:val="24"/>
        </w:rPr>
        <w:t>Perda Kabupaten/Kota dan/atau</w:t>
      </w:r>
      <w:r>
        <w:rPr>
          <w:rFonts w:ascii="Times New Roman" w:hAnsi="Times New Roman" w:cs="Times New Roman"/>
          <w:sz w:val="24"/>
          <w:szCs w:val="24"/>
        </w:rPr>
        <w:t>” dalam Pasal 251 ayat (3)  dan frasa “</w:t>
      </w:r>
      <w:r>
        <w:rPr>
          <w:rFonts w:ascii="Times New Roman" w:hAnsi="Times New Roman" w:cs="Times New Roman"/>
          <w:i/>
          <w:iCs/>
          <w:sz w:val="24"/>
          <w:szCs w:val="24"/>
        </w:rPr>
        <w:t>penyelenggara Pemerintah Daerah kabupaten/kota dan</w:t>
      </w:r>
      <w:r>
        <w:rPr>
          <w:rFonts w:ascii="Times New Roman" w:hAnsi="Times New Roman" w:cs="Times New Roman"/>
          <w:sz w:val="24"/>
          <w:szCs w:val="24"/>
        </w:rPr>
        <w:t>” dan frasa “</w:t>
      </w:r>
      <w:r>
        <w:rPr>
          <w:rFonts w:ascii="Times New Roman" w:hAnsi="Times New Roman" w:cs="Times New Roman"/>
          <w:i/>
          <w:iCs/>
          <w:sz w:val="24"/>
          <w:szCs w:val="24"/>
        </w:rPr>
        <w:t>Perda Kabupaten/Kota atau</w:t>
      </w:r>
      <w:r>
        <w:rPr>
          <w:rFonts w:ascii="Times New Roman" w:hAnsi="Times New Roman" w:cs="Times New Roman"/>
          <w:sz w:val="24"/>
          <w:szCs w:val="24"/>
        </w:rPr>
        <w:t>” dalam Pasal 251 ayat (8) Undang-Undang Nomor 23 Tahun 2014 tentang Pemerintahan Daerah (Lembaran Negara Republik Indonesia Tahun 2014 Nomor 244 Tambahan Negara Republik Indonesia Nomor 5587), tidak mempunyai kekuatan hukum mengikat;</w:t>
      </w:r>
    </w:p>
    <w:p>
      <w:pPr>
        <w:numPr>
          <w:ilvl w:val="0"/>
          <w:numId w:val="41"/>
        </w:numPr>
        <w:spacing w:after="0"/>
        <w:jc w:val="both"/>
        <w:rPr>
          <w:rFonts w:ascii="Times New Roman" w:hAnsi="Times New Roman" w:cs="Times New Roman"/>
          <w:sz w:val="24"/>
          <w:szCs w:val="24"/>
        </w:rPr>
      </w:pPr>
      <w:r>
        <w:rPr>
          <w:rFonts w:ascii="Times New Roman" w:hAnsi="Times New Roman" w:cs="Times New Roman"/>
          <w:sz w:val="24"/>
          <w:szCs w:val="24"/>
          <w:lang w:val="id-ID"/>
        </w:rPr>
        <w:t>Menolak permohonan Pemohon VII, Pemohon XVI, Pemohon XX, Pemohon XXV, dan Pemohon XXX sepanjang pengujian Pasal 9; Pasal 11; Pasal 12; Pasal 13; Pasal 14 ayat (1), ayat (2), ayat (3), dan ayat (4); Pasal 15; Pasal 16 ayat (1) dan ayat (2); Pasal 17 ayat (1), ayat (2), dan ayat (3); Pasal 21; Pasal 27 ayat (1) dan ayat (2); Pasal 28 ayat (1) dan ayat (2) Undang-Undang Nomor 23 Tahun 2014 tentang Pemerintahan Daerah (Lembaran Negara Republik Indonesia Tahun 2014 Nomor 244 Tambahan Negara Republik Indonesia Nomor 5587);</w:t>
      </w:r>
    </w:p>
    <w:p>
      <w:p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Menyimak isi putusan sebagaimana disebutkan di atas tampak bahwa yang dikabulkan hanya sebagian, yakni hanya mengabulkan permohonan tentang Pasal 251 ayat (2), ayat (3), ayat (8) dan ayat (4) UU. No. 23 Tahun 2014</w:t>
      </w:r>
      <w:r>
        <w:rPr>
          <w:rFonts w:ascii="Times New Roman" w:hAnsi="Times New Roman" w:cs="Times New Roman"/>
          <w:sz w:val="24"/>
          <w:szCs w:val="24"/>
        </w:rPr>
        <w:t>, tentang pembatalan Peraturan Daerah dan Peraturan Kepala Daerah Kabupaten/Kota. Dimana, untuk pembatalan Perda dan Perkada yang pembatalannya sebelumnya dilakukan oleh Gubernur, setelah terbitnya putusan MK ini, kewenangan itu dicabut. Pembatalan Perda dan Perkada hanya dilakukan melalui pengujian (</w:t>
      </w:r>
      <w:r>
        <w:rPr>
          <w:rFonts w:ascii="Times New Roman" w:hAnsi="Times New Roman" w:cs="Times New Roman"/>
          <w:i/>
          <w:sz w:val="24"/>
          <w:szCs w:val="24"/>
        </w:rPr>
        <w:t>judicial review</w:t>
      </w:r>
      <w:r>
        <w:rPr>
          <w:rFonts w:ascii="Times New Roman" w:hAnsi="Times New Roman" w:cs="Times New Roman"/>
          <w:sz w:val="24"/>
          <w:szCs w:val="24"/>
        </w:rPr>
        <w:t>) ke Mahkamah Agung. Artinya, Gubernur tidak mempunyai kewenangan lagi untuk membatalkan Perda dan Perkada Kabupaten/Kota.</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Terkait dengan pembatalan Perda dan Perkada Kabupaten/Kota, dalam pertimbangan hukum Majelis MK, antara lain disebutkan bahwa keberadaan Pasal 251 ayat (2) dan ayat (3) UU Pemda yang memberi wewenang kepada Gubernur sebagai wakil Pemerintah  Pusat untuk membatalkan Perda dan Perkada Kabupaten/Kota yang bertentangan dengan ketentuan peraturan perundang-undangan yang lebih tinggi, Majelis MK berpendapat hal ini menyimpangi logika dan bangunan negara hukum Indonesia sebagaimana amanah Pasal 1 ayat (3) UUD 1945. Dalam pada itu, Majelis MK juga berpendapat bahwa Mahkamah Agung adalah lembaga yang berwenang melakukan pengujian peraturan perundang-undangan di bawah Undang-Undang </w:t>
      </w:r>
      <w:r>
        <w:rPr>
          <w:rFonts w:ascii="Times New Roman" w:hAnsi="Times New Roman" w:cs="Times New Roman"/>
          <w:i/>
          <w:sz w:val="24"/>
          <w:szCs w:val="24"/>
        </w:rPr>
        <w:t>in casu</w:t>
      </w:r>
      <w:r>
        <w:rPr>
          <w:rFonts w:ascii="Times New Roman" w:hAnsi="Times New Roman" w:cs="Times New Roman"/>
          <w:sz w:val="24"/>
          <w:szCs w:val="24"/>
        </w:rPr>
        <w:t xml:space="preserve"> Perda Kabupaten/Kota sebagaimana ditegaskan dalam Pasal 24A ayat (1) UUD 1945. Demikian juga mengenai kepentingan umum dan/atau kesusilaan yang juga dijadikan tolok ukur dalam membatalkan Perda sebagaimana termuat dalam Pasal 251 ayat (2) dan ayat (3) UU Pemda, menurut Mahkamah juga merupakan ranah Mahkamah Agung untuk menerapkan tolok ukur tersebut. Fatkhurohman mengatakan bahwa pembatalan Perda oleh Pemerintah Pusat yang ditangani oleh Mahkamah Agung tidak pada tempatnya.</w:t>
      </w:r>
      <w:r>
        <w:rPr>
          <w:rStyle w:val="6"/>
          <w:rFonts w:ascii="Times New Roman" w:hAnsi="Times New Roman" w:cs="Times New Roman"/>
          <w:sz w:val="24"/>
          <w:szCs w:val="24"/>
        </w:rPr>
        <w:footnoteReference w:id="45"/>
      </w:r>
      <w:r>
        <w:rPr>
          <w:rFonts w:ascii="Times New Roman" w:hAnsi="Times New Roman" w:cs="Times New Roman"/>
          <w:sz w:val="24"/>
          <w:szCs w:val="24"/>
        </w:rPr>
        <w:t xml:space="preserve"> Penulis tidak sependapat dengan apa yang dikemukakan oleh Fatkhurohman ini, tetapi sependapat dengan pertimbangan MK yang menyebut bahwa pembatalan Perda merupakan kewenangan MA. Pendapat ini sesuai dengan apa yang dikemukakan oleh Enrico Simajuntak bahwa kewenangan MA untuk menguji peraturan perundang-undangan di bawah Undang-Undang merupakan kewenangan konstitusional dari ketentuan Pasal 24A ayat (1) UUD 1945.</w:t>
      </w:r>
      <w:r>
        <w:rPr>
          <w:rStyle w:val="6"/>
          <w:rFonts w:ascii="Times New Roman" w:hAnsi="Times New Roman" w:cs="Times New Roman"/>
          <w:sz w:val="24"/>
          <w:szCs w:val="24"/>
        </w:rPr>
        <w:footnoteReference w:id="46"/>
      </w:r>
      <w:r>
        <w:rPr>
          <w:rFonts w:ascii="Times New Roman" w:hAnsi="Times New Roman" w:cs="Times New Roman"/>
          <w:sz w:val="24"/>
          <w:szCs w:val="24"/>
        </w:rPr>
        <w:t xml:space="preserve"> Di dalam Pasal 20 ayat (2) huruf b UU. No. 48 Tahun 2009 tentang Kekuasaan Kehakiman telah ditentukan kewenangan Mahkamah Agung antara lain menguji peraturan perundang-undangan di bawah Undang-Undang terhadap Undang-Undang. Oleh karena itu, seperti dikemukakan Enrico Simajuntak lebih lanjut, bahwa :</w:t>
      </w:r>
    </w:p>
    <w:p>
      <w:pPr>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“…maka secara jelas dan tegas kewenangan MA menguji peraturan perundang-undangan terhadap undang-undang adalah kewenangan atributif yang selain bersumber dari berbagai undang-undang juga bersumber dari kewenangan konstitusional…”</w:t>
      </w:r>
      <w:r>
        <w:rPr>
          <w:rStyle w:val="6"/>
          <w:rFonts w:ascii="Times New Roman" w:hAnsi="Times New Roman" w:cs="Times New Roman"/>
          <w:sz w:val="24"/>
          <w:szCs w:val="24"/>
        </w:rPr>
        <w:footnoteReference w:id="47"/>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Berdasarkan uraian di atas tampak bahwa pemberian kewenangan kepada MA untuk melakukan pembatalan terhadap Perda melalui </w:t>
      </w:r>
      <w:r>
        <w:rPr>
          <w:rFonts w:ascii="Times New Roman" w:hAnsi="Times New Roman" w:cs="Times New Roman"/>
          <w:i/>
          <w:sz w:val="24"/>
          <w:szCs w:val="24"/>
        </w:rPr>
        <w:t xml:space="preserve">judicial review </w:t>
      </w:r>
      <w:r>
        <w:rPr>
          <w:rFonts w:ascii="Times New Roman" w:hAnsi="Times New Roman" w:cs="Times New Roman"/>
          <w:sz w:val="24"/>
          <w:szCs w:val="24"/>
        </w:rPr>
        <w:t xml:space="preserve">adalah tepat. Pertimbangan Majelis MK yang mendalilkannya dengan fungsi MA sebagai lembaga yang mempunyai kewenangan untuk melakukan pengujian terhadap peraturan perundang-undangan di bawah Undang-Undang sesuai dengan ketentuan Pasal 20 ayat (1) Undang-Undang Nomor 48 Tahun 2009 tentang Kekuasaan Kehakiman yang menggantikan Undang-Undang Nomor 4 Tahun 2004 bahwa “Mahkamah Agung berwenang: b. menguji peraturan perundang-undangan di bawah Undang-Undang terhadap Undang-Undang”. Ketentuan ini mengatur mengenai hak uji Mahkamah Agung terhadap peraturan perundang-undangan yang lebih rendah dari Undang-Undang. Hak uji dapat dilakukan baik terhadap materi muatan ayat, pasal, dan/atau bagian dari peraturan perundang-undangan yang lebih tinggi maupun terhadap pembentukan peraturan perundang-undangan. </w:t>
      </w:r>
    </w:p>
    <w:p>
      <w:pPr>
        <w:spacing w:after="0" w:line="360" w:lineRule="auto"/>
        <w:jc w:val="both"/>
        <w:rPr>
          <w:rFonts w:ascii="Times New Roman" w:hAnsi="Times New Roman" w:cs="Times New Roman"/>
          <w:sz w:val="24"/>
          <w:szCs w:val="24"/>
        </w:rPr>
      </w:pPr>
    </w:p>
    <w:p>
      <w:pPr>
        <w:numPr>
          <w:ilvl w:val="0"/>
          <w:numId w:val="33"/>
        </w:numPr>
        <w:spacing w:after="0" w:line="360" w:lineRule="auto"/>
        <w:ind w:left="425" w:leftChars="0" w:hanging="425" w:firstLineChars="0"/>
        <w:jc w:val="both"/>
        <w:rPr>
          <w:rFonts w:ascii="Times New Roman" w:hAnsi="Times New Roman" w:cs="Times New Roman"/>
          <w:b/>
          <w:sz w:val="24"/>
          <w:szCs w:val="24"/>
          <w:lang w:val="sv-SE"/>
        </w:rPr>
      </w:pPr>
      <w:r>
        <w:rPr>
          <w:rFonts w:ascii="Times New Roman" w:hAnsi="Times New Roman" w:cs="Times New Roman"/>
          <w:b/>
          <w:sz w:val="24"/>
          <w:szCs w:val="24"/>
        </w:rPr>
        <w:t xml:space="preserve">Pembinaan Gubernur dalam Penerbitan Peraturan Daerah dan Peraturan Kepala Daerah Kabupaten/Kota </w:t>
      </w:r>
    </w:p>
    <w:p>
      <w:pPr>
        <w:spacing w:after="0" w:line="36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Dalam penyelenggaraan pemerintahan daerah, Perda dan Perkada merupakan landasan dalam menjalankan pemerintahan dan pembangunan di daerah Kabupaten/Kota. Tetapi, dalam pembentukan Perda dan Perkada, harus tunduk dan taat pada kaidah-kaidah pembentukan peraturan perundang-undangan. Ketika ada Perda dan Perkada Kabupaten/Kota bertentangan dengan peraturan yang lebih tinggi, kepentingan umum, dan kesusilaan serta kebijakan nasional, setelah putusan MK, dibatalkan melalui </w:t>
      </w:r>
      <w:r>
        <w:rPr>
          <w:rFonts w:ascii="Times New Roman" w:hAnsi="Times New Roman" w:cs="Times New Roman"/>
          <w:i/>
          <w:color w:val="000000"/>
          <w:sz w:val="24"/>
          <w:szCs w:val="24"/>
        </w:rPr>
        <w:t>judicial riview</w:t>
      </w:r>
      <w:r>
        <w:rPr>
          <w:rFonts w:ascii="Times New Roman" w:hAnsi="Times New Roman" w:cs="Times New Roman"/>
          <w:color w:val="000000"/>
          <w:sz w:val="24"/>
          <w:szCs w:val="24"/>
        </w:rPr>
        <w:t xml:space="preserve"> ke MA. Jika dilihat dari proses pembatalan ini, tampaknya akan memerlukan waktu yang lama. Padahal, sesuai dengan sifatnya, Perda dan Perkada dianggap syah dan berlaku selama belum ada ketentuan hukum yang membatalkannya. Ketentuan hukum dimaksud, seperti :</w:t>
      </w:r>
    </w:p>
    <w:p>
      <w:pPr>
        <w:pStyle w:val="10"/>
        <w:numPr>
          <w:ilvl w:val="1"/>
          <w:numId w:val="18"/>
        </w:numPr>
        <w:spacing w:after="0" w:line="360" w:lineRule="auto"/>
        <w:ind w:left="851"/>
        <w:jc w:val="both"/>
        <w:rPr>
          <w:rFonts w:ascii="Times New Roman" w:hAnsi="Times New Roman" w:cs="Times New Roman"/>
          <w:color w:val="000000"/>
          <w:sz w:val="24"/>
          <w:szCs w:val="24"/>
        </w:rPr>
      </w:pPr>
      <w:r>
        <w:rPr>
          <w:rFonts w:ascii="Times New Roman" w:hAnsi="Times New Roman" w:cs="Times New Roman"/>
          <w:color w:val="000000"/>
          <w:sz w:val="24"/>
          <w:szCs w:val="24"/>
        </w:rPr>
        <w:t>Dicabut oleh pecabat atasannya;</w:t>
      </w:r>
    </w:p>
    <w:p>
      <w:pPr>
        <w:pStyle w:val="10"/>
        <w:numPr>
          <w:ilvl w:val="1"/>
          <w:numId w:val="18"/>
        </w:numPr>
        <w:spacing w:after="0" w:line="360" w:lineRule="auto"/>
        <w:ind w:left="851"/>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Dibatalkan dan/atau dicabut oleh pejabat yang membuatnya;</w:t>
      </w:r>
    </w:p>
    <w:p>
      <w:pPr>
        <w:pStyle w:val="10"/>
        <w:numPr>
          <w:ilvl w:val="1"/>
          <w:numId w:val="18"/>
        </w:numPr>
        <w:spacing w:after="0" w:line="360" w:lineRule="auto"/>
        <w:ind w:left="851"/>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Dicabut oleh ketentuan hukum yang lebih tinggi derajatnya;</w:t>
      </w:r>
    </w:p>
    <w:p>
      <w:pPr>
        <w:pStyle w:val="10"/>
        <w:numPr>
          <w:ilvl w:val="1"/>
          <w:numId w:val="18"/>
        </w:numPr>
        <w:spacing w:after="0" w:line="360" w:lineRule="auto"/>
        <w:ind w:left="851"/>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Dinyatakan tidak berlaku oleh keputusan pengadilan.</w:t>
      </w:r>
    </w:p>
    <w:p>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Selama hal-hal sebagaimana disebutkan di atas tidak ada, Perda dan Perkada tersebut tetap berlaku. Oleh karena itu, ada kekhawatiran putusan MK ini akan disalah artikan oleh para pemerintah daerah dalam mengeluarkan Perda dan Perkada. Sebab, dengan dicabutnya kewenangan Gubernur dalam pembatalan Perda dan Perkada Kabupaten/Kota, seakan Pemerintah Daerah akan bebas mengeluarkan Perda dan Perkada. Sehingga, kelak akan muncul banyak Perda dan Perkada bermasalah. Apalagi seperti dikemukakan oleh Isrok, bahwa sikap sejumlah penguasa daerah yang tidak mau tunduk pada aturan pusat dengan dalih demi kepentingan daerah sangat dilematis. Satu sisi daerah merasa lebih tahu potensi dan kondisi terkininya. Di sisi lain, pusat telah menetapkan garis-garis besar penyusunan Perda.</w:t>
      </w:r>
      <w:r>
        <w:rPr>
          <w:rStyle w:val="6"/>
          <w:rFonts w:ascii="Times New Roman" w:hAnsi="Times New Roman" w:cs="Times New Roman"/>
          <w:color w:val="000000"/>
          <w:sz w:val="24"/>
          <w:szCs w:val="24"/>
        </w:rPr>
        <w:footnoteReference w:id="48"/>
      </w:r>
      <w:r>
        <w:rPr>
          <w:rFonts w:ascii="Times New Roman" w:hAnsi="Times New Roman" w:cs="Times New Roman"/>
          <w:color w:val="000000"/>
          <w:sz w:val="24"/>
          <w:szCs w:val="24"/>
        </w:rPr>
        <w:t xml:space="preserve"> Tentu hal ini akan berdampak dalam penyelenggaraan pemerintahan dan pembangunan di daerah. </w:t>
      </w:r>
    </w:p>
    <w:p>
      <w:pPr>
        <w:spacing w:after="0" w:line="36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Kekhawatiran berikutnya adalah tentang kemampuan MA untuk membatalkan Perda dan Perkada tersebut, mengingat beban tugas MA dalam menangani kasus kasasi sebagai tugas utamanya. Sebagai pembanding, pada bulan Juni tahun 2016 yang lalu, ada sekitar 3143 Perda yang dianggap bermasalah telah dibatalkan oleh Kementerian dalam negeri.</w:t>
      </w:r>
      <w:r>
        <w:rPr>
          <w:rStyle w:val="6"/>
          <w:rFonts w:ascii="Times New Roman" w:hAnsi="Times New Roman" w:cs="Times New Roman"/>
          <w:color w:val="000000"/>
          <w:sz w:val="24"/>
          <w:szCs w:val="24"/>
        </w:rPr>
        <w:footnoteReference w:id="49"/>
      </w:r>
      <w:r>
        <w:rPr>
          <w:rFonts w:ascii="Times New Roman" w:hAnsi="Times New Roman" w:cs="Times New Roman"/>
          <w:color w:val="000000"/>
          <w:sz w:val="24"/>
          <w:szCs w:val="24"/>
        </w:rPr>
        <w:t xml:space="preserve"> Apabila merujuk kepada putusan MK </w:t>
      </w:r>
      <w:r>
        <w:rPr>
          <w:rFonts w:ascii="Times New Roman" w:hAnsi="Times New Roman" w:cs="Times New Roman"/>
          <w:sz w:val="24"/>
          <w:szCs w:val="24"/>
        </w:rPr>
        <w:t>No. 137/PUU-XIII/2015, MA adalah satu-satunya yang dapat membatalkan Perda dan Perkada. Tentu ini bukanlah pekerjaan yang mudah. Apalagi,</w:t>
      </w:r>
      <w:r>
        <w:rPr>
          <w:rFonts w:ascii="Times New Roman" w:hAnsi="Times New Roman" w:cs="Times New Roman"/>
          <w:color w:val="000000"/>
          <w:sz w:val="24"/>
          <w:szCs w:val="24"/>
        </w:rPr>
        <w:t xml:space="preserve"> kewenangan </w:t>
      </w:r>
      <w:r>
        <w:rPr>
          <w:rFonts w:ascii="Times New Roman" w:hAnsi="Times New Roman" w:cs="Times New Roman"/>
          <w:i/>
          <w:color w:val="000000"/>
          <w:sz w:val="24"/>
          <w:szCs w:val="24"/>
        </w:rPr>
        <w:t xml:space="preserve">judicial review </w:t>
      </w:r>
      <w:r>
        <w:rPr>
          <w:rFonts w:ascii="Times New Roman" w:hAnsi="Times New Roman" w:cs="Times New Roman"/>
          <w:color w:val="000000"/>
          <w:sz w:val="24"/>
          <w:szCs w:val="24"/>
        </w:rPr>
        <w:t>MA tidak hanya pada Perda, tetapi seluruh peraturan perundang-undangan di bawah undang-undang.</w:t>
      </w:r>
    </w:p>
    <w:p>
      <w:pPr>
        <w:spacing w:after="0" w:line="36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Pendapat ini sesuai dengan apa yang dikemukakan oleh M. Nur Sholikin bahwa pembatalan Perda melalui </w:t>
      </w:r>
      <w:r>
        <w:rPr>
          <w:rFonts w:ascii="Times New Roman" w:hAnsi="Times New Roman" w:cs="Times New Roman"/>
          <w:i/>
          <w:color w:val="000000"/>
          <w:sz w:val="24"/>
          <w:szCs w:val="24"/>
        </w:rPr>
        <w:t>judicial review</w:t>
      </w:r>
      <w:r>
        <w:rPr>
          <w:rFonts w:ascii="Times New Roman" w:hAnsi="Times New Roman" w:cs="Times New Roman"/>
          <w:color w:val="000000"/>
          <w:sz w:val="24"/>
          <w:szCs w:val="24"/>
        </w:rPr>
        <w:t xml:space="preserve"> di MA bukan suatu pekerjaan yang mudah bagi MA.</w:t>
      </w:r>
      <w:r>
        <w:rPr>
          <w:rStyle w:val="6"/>
          <w:rFonts w:ascii="Times New Roman" w:hAnsi="Times New Roman" w:cs="Times New Roman"/>
          <w:color w:val="000000"/>
          <w:sz w:val="24"/>
          <w:szCs w:val="24"/>
        </w:rPr>
        <w:footnoteReference w:id="50"/>
      </w:r>
      <w:r>
        <w:rPr>
          <w:rFonts w:ascii="Times New Roman" w:hAnsi="Times New Roman" w:cs="Times New Roman"/>
          <w:color w:val="000000"/>
          <w:sz w:val="24"/>
          <w:szCs w:val="24"/>
        </w:rPr>
        <w:t xml:space="preserve"> Lebih lanjut M. Nur Sholikin mengatakan, bahwa :</w:t>
      </w:r>
    </w:p>
    <w:p>
      <w:pPr>
        <w:spacing w:line="240" w:lineRule="auto"/>
        <w:ind w:left="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“Selama ini, jumlah perkara </w:t>
      </w:r>
      <w:r>
        <w:rPr>
          <w:rFonts w:ascii="Times New Roman" w:hAnsi="Times New Roman" w:cs="Times New Roman"/>
          <w:i/>
          <w:color w:val="000000"/>
          <w:sz w:val="24"/>
          <w:szCs w:val="24"/>
        </w:rPr>
        <w:t>judicial review</w:t>
      </w:r>
      <w:r>
        <w:rPr>
          <w:rFonts w:ascii="Times New Roman" w:hAnsi="Times New Roman" w:cs="Times New Roman"/>
          <w:color w:val="000000"/>
          <w:sz w:val="24"/>
          <w:szCs w:val="24"/>
        </w:rPr>
        <w:t xml:space="preserve"> di MA rata-rata masih di bawah seratus perkara. Bahkan tahun 2016 lalu jumlah perkaranya hanya 49. Dari jumlah tersebut hanya ada sebanyak delapan Perda. Tahun 2015, jumlah perkara </w:t>
      </w:r>
      <w:r>
        <w:rPr>
          <w:rFonts w:ascii="Times New Roman" w:hAnsi="Times New Roman" w:cs="Times New Roman"/>
          <w:i/>
          <w:color w:val="000000"/>
          <w:sz w:val="24"/>
          <w:szCs w:val="24"/>
        </w:rPr>
        <w:t xml:space="preserve">judicial review </w:t>
      </w:r>
      <w:r>
        <w:rPr>
          <w:rFonts w:ascii="Times New Roman" w:hAnsi="Times New Roman" w:cs="Times New Roman"/>
          <w:color w:val="000000"/>
          <w:sz w:val="24"/>
          <w:szCs w:val="24"/>
        </w:rPr>
        <w:t xml:space="preserve">yang ditangani MA sebanyak 72. Potensi perkara </w:t>
      </w:r>
      <w:r>
        <w:rPr>
          <w:rFonts w:ascii="Times New Roman" w:hAnsi="Times New Roman" w:cs="Times New Roman"/>
          <w:i/>
          <w:color w:val="000000"/>
          <w:sz w:val="24"/>
          <w:szCs w:val="24"/>
        </w:rPr>
        <w:t>judicial review</w:t>
      </w:r>
      <w:r>
        <w:rPr>
          <w:rFonts w:ascii="Times New Roman" w:hAnsi="Times New Roman" w:cs="Times New Roman"/>
          <w:color w:val="000000"/>
          <w:sz w:val="24"/>
          <w:szCs w:val="24"/>
        </w:rPr>
        <w:t xml:space="preserve"> Perda ini sangat besar. Apabila kita melihat pada data yang dibatalkan oleh Pemerintah pada 2016 sebanyak 3143 Perda. Potensi perkara itu sangat besar.”</w:t>
      </w:r>
      <w:r>
        <w:rPr>
          <w:rStyle w:val="6"/>
          <w:rFonts w:ascii="Times New Roman" w:hAnsi="Times New Roman" w:cs="Times New Roman"/>
          <w:color w:val="000000"/>
          <w:sz w:val="24"/>
          <w:szCs w:val="24"/>
        </w:rPr>
        <w:footnoteReference w:id="51"/>
      </w:r>
      <w:r>
        <w:rPr>
          <w:rFonts w:ascii="Times New Roman" w:hAnsi="Times New Roman" w:cs="Times New Roman"/>
          <w:color w:val="000000"/>
          <w:sz w:val="24"/>
          <w:szCs w:val="24"/>
        </w:rPr>
        <w:t xml:space="preserve"> </w:t>
      </w:r>
    </w:p>
    <w:p>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Pendapat M. Nur Sholikin di atas mengingatkan bagaimana beban tugas MA setelah putusan MK </w:t>
      </w:r>
      <w:r>
        <w:rPr>
          <w:rFonts w:ascii="Times New Roman" w:hAnsi="Times New Roman" w:cs="Times New Roman"/>
          <w:sz w:val="24"/>
          <w:szCs w:val="24"/>
        </w:rPr>
        <w:t>No. 137/PUU-XIII/2015 begitu berat. Oleh k</w:t>
      </w:r>
      <w:r>
        <w:rPr>
          <w:rFonts w:ascii="Times New Roman" w:hAnsi="Times New Roman" w:cs="Times New Roman"/>
          <w:color w:val="000000"/>
          <w:sz w:val="24"/>
          <w:szCs w:val="24"/>
        </w:rPr>
        <w:t>arena itu, penulis tertarik dengan pendapat Majelis MK yang antara lain mengemukakan bahwa d</w:t>
      </w:r>
      <w:r>
        <w:rPr>
          <w:rFonts w:ascii="Times New Roman" w:hAnsi="Times New Roman" w:cs="Times New Roman"/>
          <w:sz w:val="24"/>
          <w:szCs w:val="24"/>
        </w:rPr>
        <w:t>alam perspektif negara kesatuan (</w:t>
      </w:r>
      <w:r>
        <w:rPr>
          <w:rFonts w:ascii="Times New Roman" w:hAnsi="Times New Roman" w:cs="Times New Roman"/>
          <w:i/>
          <w:sz w:val="24"/>
          <w:szCs w:val="24"/>
        </w:rPr>
        <w:t>unitary state, eenheidsstaat</w:t>
      </w:r>
      <w:r>
        <w:rPr>
          <w:rFonts w:ascii="Times New Roman" w:hAnsi="Times New Roman" w:cs="Times New Roman"/>
          <w:sz w:val="24"/>
          <w:szCs w:val="24"/>
        </w:rPr>
        <w:t>) adalah logis untuk mengembangkan pengertian bahwa pemerintahan atasan berwenang melakukan pengawasan terhadap unit pemerintahan bawahan. Artinya, pemerintahan pusat dalam konteks NKRI berdasarkan UUD 1945 tentu dapat dikatakan mempunyai kewenangan untuk mengontrol unit-unit Pemerintahan Daerah Provinsi ataupun Pemerintahan Daerah Kabupaten dan Kota. Demikian pula Pemerintahan Daerah Provinsi juga dapat diberi kewenangan tertentu dalam rangka mengendalikan jalannya Pemerintahan Daerah Kabupaten/Kota di bidang pengaturan. Pengendalian itu misalnya melalui kewenangan untuk melakukan “</w:t>
      </w:r>
      <w:r>
        <w:rPr>
          <w:rFonts w:ascii="Times New Roman" w:hAnsi="Times New Roman" w:cs="Times New Roman"/>
          <w:i/>
          <w:sz w:val="24"/>
          <w:szCs w:val="24"/>
        </w:rPr>
        <w:t>executive abstract preview</w:t>
      </w:r>
      <w:r>
        <w:rPr>
          <w:rFonts w:ascii="Times New Roman" w:hAnsi="Times New Roman" w:cs="Times New Roman"/>
          <w:sz w:val="24"/>
          <w:szCs w:val="24"/>
        </w:rPr>
        <w:t>”, bukan mekanisme “</w:t>
      </w:r>
      <w:r>
        <w:rPr>
          <w:rFonts w:ascii="Times New Roman" w:hAnsi="Times New Roman" w:cs="Times New Roman"/>
          <w:i/>
          <w:sz w:val="24"/>
          <w:szCs w:val="24"/>
        </w:rPr>
        <w:t>review</w:t>
      </w:r>
      <w:r>
        <w:rPr>
          <w:rFonts w:ascii="Times New Roman" w:hAnsi="Times New Roman" w:cs="Times New Roman"/>
          <w:sz w:val="24"/>
          <w:szCs w:val="24"/>
        </w:rPr>
        <w:t>” atas Peraturan Daerah yang sudah berlaku mengikat untuk umum. Oleh karena itu, terhadap Peraturan Daerah sebagai produk hukum di daerah, sebaiknya hanya di “</w:t>
      </w:r>
      <w:r>
        <w:rPr>
          <w:rFonts w:ascii="Times New Roman" w:hAnsi="Times New Roman" w:cs="Times New Roman"/>
          <w:i/>
          <w:sz w:val="24"/>
          <w:szCs w:val="24"/>
        </w:rPr>
        <w:t>preview</w:t>
      </w:r>
      <w:r>
        <w:rPr>
          <w:rFonts w:ascii="Times New Roman" w:hAnsi="Times New Roman" w:cs="Times New Roman"/>
          <w:sz w:val="24"/>
          <w:szCs w:val="24"/>
        </w:rPr>
        <w:t>” oleh pemerintahan atasan apabila statusnya masih sebagai rancangan Peraturan Daerah yang belum mengikat untuk umum. Jika Peraturan Daerah itu sudah mengikat umum, maka sebaiknya yang mengujinya adalah lembaga peradilan sebagai pihak ketiga yang sama sekali tidak terlibat dalam proses pembentukan Peraturan Daerah yang bersangkutan sesuai dengan kekuasaan yang dianut dan dikembangkan menurut UUD 1945 yakni “</w:t>
      </w:r>
      <w:r>
        <w:rPr>
          <w:rFonts w:ascii="Times New Roman" w:hAnsi="Times New Roman" w:cs="Times New Roman"/>
          <w:i/>
          <w:sz w:val="24"/>
          <w:szCs w:val="24"/>
        </w:rPr>
        <w:t>centralized model of judicial review</w:t>
      </w:r>
      <w:r>
        <w:rPr>
          <w:rFonts w:ascii="Times New Roman" w:hAnsi="Times New Roman" w:cs="Times New Roman"/>
          <w:sz w:val="24"/>
          <w:szCs w:val="24"/>
        </w:rPr>
        <w:t>”, bukan “</w:t>
      </w:r>
      <w:r>
        <w:rPr>
          <w:rFonts w:ascii="Times New Roman" w:hAnsi="Times New Roman" w:cs="Times New Roman"/>
          <w:i/>
          <w:sz w:val="24"/>
          <w:szCs w:val="24"/>
        </w:rPr>
        <w:t>decentralized model</w:t>
      </w:r>
      <w:r>
        <w:rPr>
          <w:rFonts w:ascii="Times New Roman" w:hAnsi="Times New Roman" w:cs="Times New Roman"/>
          <w:sz w:val="24"/>
          <w:szCs w:val="24"/>
        </w:rPr>
        <w:t xml:space="preserve">”, seperti ditentukan dalam Pasal 24A ayat (1) dan Pasal 24C ayat (1) UUD 1945.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Penulis setuju dengan pertimbangan Majelis Hakim di atas. Adalah betul sesuai dengan kedudukan Gubernur sebagai wakil pemerintah pusat mempunyai kewajiban untuk melakukan pembinaan kepada Pemerintah Kabupaten/Kota. Hal itu menurut penulis sangat logis dan sesuai dengan ketentuan </w:t>
      </w:r>
      <w:r>
        <w:rPr>
          <w:rFonts w:ascii="Times New Roman" w:hAnsi="Times New Roman" w:cs="Times New Roman"/>
          <w:color w:val="000000"/>
          <w:sz w:val="24"/>
          <w:szCs w:val="24"/>
        </w:rPr>
        <w:t xml:space="preserve">Pasal 8 ayat (2) UU. No. 23 Tahun 2014, yang mengatakan bahwa Gubernur sebagai wakil Pemerintah Pusat mempunyai kewenangan untuk melakukan pembinaan terhadap penyelenggaraan Urusan Pemerintahan di Kabupaten/Kota. Secara khusus, pembinaan itu dapat dilakukan dalam setiap penerbitan Perda dan Perkada.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color w:val="000000"/>
          <w:sz w:val="24"/>
          <w:szCs w:val="24"/>
        </w:rPr>
        <w:t>Sangat logis pertimbangan Majelis Hakim MK</w:t>
      </w:r>
      <w:r>
        <w:rPr>
          <w:rFonts w:ascii="Times New Roman" w:hAnsi="Times New Roman" w:cs="Times New Roman"/>
          <w:sz w:val="24"/>
          <w:szCs w:val="24"/>
        </w:rPr>
        <w:t xml:space="preserve"> yang menyatakan bahwa terhadap Perda dan Perkada yang bermasalah sebaiknya yang mengujinya adalah lembaga peradilan sebagai pihak ketiga yang sama sekali tidak terlibat dalam proses pembentukan Perda dan Perkada tersebut. Sebab, apabila kewenangan itu diberi kepada Gubernur, menjadi persoalan bentuk hukumnya seperti apa.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Apabila pembatalan Perda Kabupaten/Kota dilakukan melalui keputusan gubernur sebagai wakil Pemerintah Pusat sebagaimana dimaksud dalam Pasal 251 ayat (4) UU No. 23 Tahun 2014, hal itu tidak sesuai dengan ketentuan Pasal 7 ayat (1) UU. No. 12 Tahun 2011. Sebab, menurut Pasal 7 ayat (1) dan Pasal 8 UU 12/2011 tidak dikenal bentuk hukum yang bernama Keputusan Gubernur sebagai salah satu jenis dan hierarki peraturan perundang-undangan. Dengan demikian, kedudukan keputusan gubernur bukanlah bagian dari rezim peraturan perundang-undangan, sehingga tidak dapat dijadikan produk hukum untuk membatalkan Perda dan Perkada Kabupaten/Kota. Oleh karena itu, adalah betul pertimbangan Majelis Hakim MK bahwa terjadi kekeliruan di mana Perda Kabupaten/Kota sebagai produk hukum yang berbentuk peraturan (</w:t>
      </w:r>
      <w:r>
        <w:rPr>
          <w:rFonts w:ascii="Times New Roman" w:hAnsi="Times New Roman" w:cs="Times New Roman"/>
          <w:i/>
          <w:sz w:val="24"/>
          <w:szCs w:val="24"/>
        </w:rPr>
        <w:t>regeling</w:t>
      </w:r>
      <w:r>
        <w:rPr>
          <w:rFonts w:ascii="Times New Roman" w:hAnsi="Times New Roman" w:cs="Times New Roman"/>
          <w:sz w:val="24"/>
          <w:szCs w:val="24"/>
        </w:rPr>
        <w:t>) dapat dibatalkan dengan keputusan gubernur sebagai produk hukum yang berbentuk keputusan (</w:t>
      </w:r>
      <w:r>
        <w:rPr>
          <w:rFonts w:ascii="Times New Roman" w:hAnsi="Times New Roman" w:cs="Times New Roman"/>
          <w:i/>
          <w:sz w:val="24"/>
          <w:szCs w:val="24"/>
        </w:rPr>
        <w:t>beschikking</w:t>
      </w:r>
      <w:r>
        <w:rPr>
          <w:rFonts w:ascii="Times New Roman" w:hAnsi="Times New Roman" w:cs="Times New Roman"/>
          <w:sz w:val="24"/>
          <w:szCs w:val="24"/>
        </w:rPr>
        <w:t xml:space="preserve">). Menurut penulis, paling tidak, Perda itu dapat dibatalkan dengan Perda lagi. Namun demikian, mengingat Gubernur tidak dapat mengeluarkan secara sendiri untuk menerbitkan Perda, sebab harus bersama DPRD, tentu ini menjadi masalah. Oleh karena itu, adalah lebih tepat Gubernur sebagai wakil pemerintah pusat dapat melakukan penelitian dan pengkajian terhadap rancangan Perda dan Perkada sebelum ditetapkan. Melalui penelitian dan pengkajian tersebut, apabila ditemukan bahwa Perda dan Perkada tersebut diduga bertentangan dengan ketentuan yang lebih tinggi, ketentuan umum, dan/atau kesusilaan, serta kebijakan nasional, Gubernur dapat mengembalikan rancangan Perda dan Perkada tersebut untuk diperbaiki. Rancangan Perda dan Perkada yang dikembalikan serta diminta diperbaiki, Pemerintah Kabupaten/Kota beserta DPRD wajib mematuhinya. Apabila tidak dipatuhi, Gubernur dapat menolak Perda dan Perkada tersebut untuk ditetapkan menjadi Perda dan/atau Perkada, dan jika  sudah diperbaiki, Perda dan Perkada tersebut dapat ditetapkan menjadi Perda dan/atau Perkada. Tentu, Perda dan Perkada yang sudah mendapat persetujuan Gubernur ini tidak bisa dibatalkan lagi, baik oleh Gubernur maupun melalui pengujian ke MA.   </w:t>
      </w:r>
    </w:p>
    <w:p>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Cara sebagaimana disebutkan di atas menurut penulis sangat logis dan efektif. Sebab, apabila pembatalan Perda dan Perkada dikaji, bentuknya adalah sebuah Keputusan. Hal itu berpotensi digugat ke Pengadilan Tata Usaha Negara. Apabila permohonan itu dikabulkan, Perda Kabupaten/Kota yang dibatalkan oleh keputusan gubenur menjadi berlaku kembali. Di sisi lain, terdapat upaya hukum pengujian Perda melalui Mahkamah Agung yang dilakukan oleh Pemerintah, masyarakat di daerah tersebut atau pihak yang merasa dirugikan dengan berlakunya Perda tersebut. Misalnya upaya hukum melalui Mahkamah Agung tersebut dikabulkan maka Perda menjadi dinyatakan tidak berlaku. Dengan demikian telah terjadi kesalahan dalam persoalan yang sama. Potensi putusan pengadilan antara putusan PTUN dan putusan pengujian Perda oleh Mahkamah Agung terhadap substansi perkara yang sama, hanya berbeda produk hukum akan menimbulkan ketidakpastian hukum, padahal kepastian hukum merupakan hak setiap orang yang dijamin dan dilindungi oleh Pasal 28D ayat (1) UUD 1945. Oleh karena itu, demi kepastian hukum dan sesuai dengan UUD 1945 menurut penulis, langkah yang paling efektip adalah gubernur melakukan penelitian dan pengkajian terhadap setiap rancangan Perda dan Perkada sebelum ditetapkan menjadi Perda dan dan Perkada. Apa bila hal itu dilakukan, Perda dan/atau Perkada tersebut tidak bisa dibatalkan lagi oleh Gubernur.</w:t>
      </w:r>
    </w:p>
    <w:p>
      <w:pPr>
        <w:spacing w:after="0" w:line="360" w:lineRule="auto"/>
        <w:ind w:firstLine="720"/>
        <w:jc w:val="both"/>
        <w:rPr>
          <w:rFonts w:ascii="Times New Roman" w:hAnsi="Times New Roman" w:cs="Times New Roman"/>
          <w:sz w:val="24"/>
          <w:szCs w:val="24"/>
        </w:rPr>
      </w:pPr>
    </w:p>
    <w:p>
      <w:pPr>
        <w:spacing w:after="0" w:line="360" w:lineRule="auto"/>
        <w:ind w:firstLine="720"/>
        <w:jc w:val="both"/>
        <w:rPr>
          <w:rFonts w:ascii="Times New Roman" w:hAnsi="Times New Roman" w:cs="Times New Roman"/>
          <w:sz w:val="24"/>
          <w:szCs w:val="24"/>
        </w:rPr>
      </w:pPr>
    </w:p>
    <w:p>
      <w:pPr>
        <w:spacing w:after="0" w:line="360" w:lineRule="auto"/>
        <w:ind w:firstLine="720"/>
        <w:jc w:val="both"/>
        <w:rPr>
          <w:rFonts w:ascii="Times New Roman" w:hAnsi="Times New Roman" w:cs="Times New Roman"/>
          <w:sz w:val="24"/>
          <w:szCs w:val="24"/>
        </w:rPr>
      </w:pPr>
    </w:p>
    <w:p>
      <w:pPr>
        <w:spacing w:after="0" w:line="360" w:lineRule="auto"/>
        <w:ind w:firstLine="720"/>
        <w:jc w:val="both"/>
        <w:rPr>
          <w:rFonts w:ascii="Times New Roman" w:hAnsi="Times New Roman" w:cs="Times New Roman"/>
          <w:sz w:val="24"/>
          <w:szCs w:val="24"/>
        </w:rPr>
      </w:pPr>
    </w:p>
    <w:p>
      <w:pPr>
        <w:spacing w:after="0" w:line="360" w:lineRule="auto"/>
        <w:ind w:firstLine="720"/>
        <w:jc w:val="both"/>
        <w:rPr>
          <w:rFonts w:ascii="Times New Roman" w:hAnsi="Times New Roman" w:cs="Times New Roman"/>
          <w:sz w:val="24"/>
          <w:szCs w:val="24"/>
        </w:rPr>
      </w:pPr>
    </w:p>
    <w:p>
      <w:pPr>
        <w:spacing w:after="0" w:line="360" w:lineRule="auto"/>
        <w:ind w:firstLine="720"/>
        <w:jc w:val="both"/>
        <w:rPr>
          <w:rFonts w:ascii="Times New Roman" w:hAnsi="Times New Roman" w:cs="Times New Roman"/>
          <w:sz w:val="24"/>
          <w:szCs w:val="24"/>
        </w:rPr>
      </w:pPr>
    </w:p>
    <w:p>
      <w:pPr>
        <w:spacing w:after="0" w:line="360" w:lineRule="auto"/>
        <w:ind w:firstLine="720"/>
        <w:jc w:val="both"/>
        <w:rPr>
          <w:rFonts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ascii="Times New Roman" w:hAnsi="Times New Roman" w:cs="Times New Roman"/>
          <w:b/>
          <w:sz w:val="24"/>
          <w:szCs w:val="24"/>
        </w:rPr>
      </w:pPr>
      <w:r>
        <w:rPr>
          <w:rFonts w:ascii="Times New Roman" w:hAnsi="Times New Roman" w:cs="Times New Roman"/>
          <w:b/>
          <w:sz w:val="24"/>
          <w:szCs w:val="24"/>
        </w:rPr>
        <w:t>B A B  V</w:t>
      </w: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ascii="Times New Roman" w:hAnsi="Times New Roman" w:cs="Times New Roman"/>
          <w:b/>
          <w:sz w:val="24"/>
          <w:szCs w:val="24"/>
        </w:rPr>
      </w:pPr>
      <w:r>
        <w:rPr>
          <w:rFonts w:ascii="Times New Roman" w:hAnsi="Times New Roman" w:cs="Times New Roman"/>
          <w:b/>
          <w:sz w:val="24"/>
          <w:szCs w:val="24"/>
        </w:rPr>
        <w:t>SIMPULAN DAN SARAN-SARAN</w:t>
      </w: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ascii="Times New Roman" w:hAnsi="Times New Roman" w:cs="Times New Roman"/>
          <w:b/>
          <w:sz w:val="24"/>
          <w:szCs w:val="24"/>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Times New Roman" w:hAnsi="Times New Roman" w:cs="Times New Roman"/>
          <w:sz w:val="24"/>
          <w:szCs w:val="24"/>
        </w:rPr>
      </w:pPr>
      <w:r>
        <w:rPr>
          <w:rFonts w:ascii="Times New Roman" w:hAnsi="Times New Roman" w:cs="Times New Roman"/>
          <w:sz w:val="24"/>
          <w:szCs w:val="24"/>
        </w:rPr>
        <w:tab/>
      </w:r>
      <w:r>
        <w:rPr>
          <w:rFonts w:hint="default" w:ascii="Times New Roman" w:hAnsi="Times New Roman" w:cs="Times New Roman"/>
          <w:sz w:val="24"/>
          <w:szCs w:val="24"/>
          <w:lang w:val="id-ID"/>
        </w:rPr>
        <w:tab/>
      </w:r>
      <w:r>
        <w:rPr>
          <w:rFonts w:ascii="Times New Roman" w:hAnsi="Times New Roman" w:cs="Times New Roman"/>
          <w:sz w:val="24"/>
          <w:szCs w:val="24"/>
        </w:rPr>
        <w:t>Berdasarkan uraian sebagaimana disebutkan di atas dapat diberi kesimpulan dan saran-saran sebagai berikut :</w:t>
      </w:r>
    </w:p>
    <w:p>
      <w:pPr>
        <w:pStyle w:val="10"/>
        <w:keepNext w:val="0"/>
        <w:keepLines w:val="0"/>
        <w:pageBreakBefore w:val="0"/>
        <w:widowControl/>
        <w:numPr>
          <w:ilvl w:val="0"/>
          <w:numId w:val="42"/>
        </w:numPr>
        <w:kinsoku/>
        <w:wordWrap/>
        <w:overflowPunct/>
        <w:topLinePunct w:val="0"/>
        <w:autoSpaceDE/>
        <w:autoSpaceDN/>
        <w:bidi w:val="0"/>
        <w:adjustRightInd/>
        <w:snapToGrid/>
        <w:spacing w:after="0" w:line="360" w:lineRule="auto"/>
        <w:ind w:left="425" w:leftChars="0" w:hanging="425" w:firstLineChars="0"/>
        <w:jc w:val="both"/>
        <w:textAlignment w:val="auto"/>
        <w:rPr>
          <w:rFonts w:ascii="Times New Roman" w:hAnsi="Times New Roman" w:cs="Times New Roman"/>
          <w:b/>
          <w:sz w:val="24"/>
          <w:szCs w:val="24"/>
        </w:rPr>
      </w:pPr>
      <w:r>
        <w:rPr>
          <w:rFonts w:ascii="Times New Roman" w:hAnsi="Times New Roman" w:cs="Times New Roman"/>
          <w:b/>
          <w:sz w:val="24"/>
          <w:szCs w:val="24"/>
          <w:lang w:val="en-US"/>
        </w:rPr>
        <w:t>Simpulan</w:t>
      </w:r>
    </w:p>
    <w:p>
      <w:pPr>
        <w:pStyle w:val="10"/>
        <w:numPr>
          <w:ilvl w:val="0"/>
          <w:numId w:val="43"/>
        </w:numPr>
        <w:spacing w:after="0" w:line="360" w:lineRule="auto"/>
        <w:ind w:left="845" w:leftChars="0" w:hanging="425" w:firstLineChars="0"/>
        <w:jc w:val="both"/>
        <w:rPr>
          <w:rFonts w:ascii="Times New Roman" w:hAnsi="Times New Roman" w:cs="Times New Roman"/>
          <w:sz w:val="24"/>
          <w:szCs w:val="24"/>
          <w:lang w:val="sv-SE"/>
        </w:rPr>
      </w:pPr>
      <w:r>
        <w:rPr>
          <w:rFonts w:ascii="Times New Roman" w:hAnsi="Times New Roman" w:cs="Times New Roman"/>
          <w:sz w:val="24"/>
          <w:szCs w:val="24"/>
          <w:lang w:val="sv-SE"/>
        </w:rPr>
        <w:t xml:space="preserve">Kedudukan Peraturan Daerah dan Peraturan Kepala Daerah dalam sistem hukum nasional dapat mengacu kepada ketentuan Pasal 18 ayat (6) UUD 1945 Jo Pasal 7 dan 8 UU No. 12 Tahun 2011. </w:t>
      </w:r>
    </w:p>
    <w:p>
      <w:pPr>
        <w:pStyle w:val="10"/>
        <w:numPr>
          <w:ilvl w:val="0"/>
          <w:numId w:val="43"/>
        </w:numPr>
        <w:spacing w:after="0" w:line="360" w:lineRule="auto"/>
        <w:ind w:left="845" w:leftChars="0" w:hanging="425" w:firstLineChars="0"/>
        <w:jc w:val="both"/>
        <w:rPr>
          <w:rFonts w:ascii="Times New Roman" w:hAnsi="Times New Roman" w:cs="Times New Roman"/>
          <w:sz w:val="24"/>
          <w:szCs w:val="24"/>
          <w:lang w:val="sv-SE"/>
        </w:rPr>
      </w:pPr>
      <w:r>
        <w:rPr>
          <w:rFonts w:ascii="Times New Roman" w:hAnsi="Times New Roman" w:cs="Times New Roman"/>
          <w:sz w:val="24"/>
          <w:szCs w:val="24"/>
          <w:lang w:val="sv-SE"/>
        </w:rPr>
        <w:t>Menurut Pasal 251 UU. No. 23 Tahun 2014, pembatalan Perda dan Perkada Kabupaten/Kota kewenangannya berada pada Gubernur sebagai wakil Pemerintah Pusat. Setelah terbitnya Putusan Mahkamah Konstitusi</w:t>
      </w:r>
      <w:r>
        <w:rPr>
          <w:rFonts w:ascii="Times New Roman" w:hAnsi="Times New Roman" w:cs="Times New Roman"/>
          <w:sz w:val="24"/>
          <w:szCs w:val="24"/>
        </w:rPr>
        <w:t xml:space="preserve"> No. 137/PUU-XIII/2015</w:t>
      </w:r>
      <w:r>
        <w:rPr>
          <w:rFonts w:ascii="Times New Roman" w:hAnsi="Times New Roman" w:cs="Times New Roman"/>
          <w:sz w:val="24"/>
          <w:szCs w:val="24"/>
          <w:lang w:val="en-US"/>
        </w:rPr>
        <w:t xml:space="preserve"> kewenangan itu dicabut. Pembatalan Perda dan Perkada dilakukan melalui </w:t>
      </w:r>
      <w:r>
        <w:rPr>
          <w:rFonts w:ascii="Times New Roman" w:hAnsi="Times New Roman" w:cs="Times New Roman"/>
          <w:i/>
          <w:sz w:val="24"/>
          <w:szCs w:val="24"/>
          <w:lang w:val="en-US"/>
        </w:rPr>
        <w:t>judicial review</w:t>
      </w:r>
      <w:r>
        <w:rPr>
          <w:rFonts w:ascii="Times New Roman" w:hAnsi="Times New Roman" w:cs="Times New Roman"/>
          <w:sz w:val="24"/>
          <w:szCs w:val="24"/>
          <w:lang w:val="en-US"/>
        </w:rPr>
        <w:t xml:space="preserve"> ke Mahkamah Agung</w:t>
      </w:r>
    </w:p>
    <w:p>
      <w:pPr>
        <w:pStyle w:val="10"/>
        <w:numPr>
          <w:ilvl w:val="0"/>
          <w:numId w:val="43"/>
        </w:numPr>
        <w:spacing w:after="0" w:line="360" w:lineRule="auto"/>
        <w:ind w:left="845" w:leftChars="0" w:hanging="425" w:firstLineChars="0"/>
        <w:jc w:val="both"/>
        <w:rPr>
          <w:rFonts w:ascii="Times New Roman" w:hAnsi="Times New Roman" w:cs="Times New Roman"/>
          <w:sz w:val="24"/>
          <w:szCs w:val="24"/>
          <w:lang w:val="sv-SE"/>
        </w:rPr>
      </w:pPr>
      <w:r>
        <w:rPr>
          <w:rFonts w:ascii="Times New Roman" w:hAnsi="Times New Roman" w:cs="Times New Roman"/>
          <w:sz w:val="24"/>
          <w:szCs w:val="24"/>
          <w:lang w:val="en-US"/>
        </w:rPr>
        <w:t>B</w:t>
      </w:r>
      <w:r>
        <w:rPr>
          <w:rFonts w:ascii="Times New Roman" w:hAnsi="Times New Roman" w:cs="Times New Roman"/>
          <w:sz w:val="24"/>
          <w:szCs w:val="24"/>
        </w:rPr>
        <w:t xml:space="preserve">entuk pembinaan Gubernur </w:t>
      </w:r>
      <w:r>
        <w:rPr>
          <w:rFonts w:ascii="Times New Roman" w:hAnsi="Times New Roman" w:cs="Times New Roman"/>
          <w:sz w:val="24"/>
          <w:szCs w:val="24"/>
          <w:lang w:val="en-US"/>
        </w:rPr>
        <w:t xml:space="preserve">setelah terbitnya </w:t>
      </w:r>
      <w:r>
        <w:rPr>
          <w:rFonts w:ascii="Times New Roman" w:hAnsi="Times New Roman" w:cs="Times New Roman"/>
          <w:sz w:val="24"/>
          <w:szCs w:val="24"/>
        </w:rPr>
        <w:t xml:space="preserve">putusan </w:t>
      </w:r>
      <w:r>
        <w:rPr>
          <w:rFonts w:ascii="Times New Roman" w:hAnsi="Times New Roman" w:cs="Times New Roman"/>
          <w:color w:val="000000"/>
          <w:sz w:val="24"/>
          <w:szCs w:val="24"/>
        </w:rPr>
        <w:t>Mahkamah Konstitusi No. 137/PUU-XII</w:t>
      </w:r>
      <w:r>
        <w:rPr>
          <w:rFonts w:ascii="Times New Roman" w:hAnsi="Times New Roman" w:cs="Times New Roman"/>
          <w:color w:val="000000"/>
          <w:sz w:val="24"/>
          <w:szCs w:val="24"/>
          <w:lang w:val="en-US"/>
        </w:rPr>
        <w:t>I</w:t>
      </w:r>
      <w:r>
        <w:rPr>
          <w:rFonts w:ascii="Times New Roman" w:hAnsi="Times New Roman" w:cs="Times New Roman"/>
          <w:color w:val="000000"/>
          <w:sz w:val="24"/>
          <w:szCs w:val="24"/>
        </w:rPr>
        <w:t>/201</w:t>
      </w:r>
      <w:r>
        <w:rPr>
          <w:rFonts w:ascii="Times New Roman" w:hAnsi="Times New Roman" w:cs="Times New Roman"/>
          <w:sz w:val="24"/>
          <w:szCs w:val="24"/>
        </w:rPr>
        <w:t>5</w:t>
      </w:r>
      <w:r>
        <w:rPr>
          <w:rFonts w:ascii="Times New Roman" w:hAnsi="Times New Roman" w:cs="Times New Roman"/>
          <w:sz w:val="24"/>
          <w:szCs w:val="24"/>
          <w:lang w:val="en-US"/>
        </w:rPr>
        <w:t xml:space="preserve"> </w:t>
      </w:r>
      <w:r>
        <w:rPr>
          <w:rFonts w:ascii="Times New Roman" w:hAnsi="Times New Roman" w:cs="Times New Roman"/>
          <w:sz w:val="24"/>
          <w:szCs w:val="24"/>
        </w:rPr>
        <w:t>dalam penerbitan Perda dan Perkada dapat dilakukan pada saat Perda dan Perkada tersebut masih dalam tahap Rancangan.</w:t>
      </w:r>
      <w:r>
        <w:rPr>
          <w:rFonts w:ascii="Times New Roman" w:hAnsi="Times New Roman" w:cs="Times New Roman"/>
          <w:sz w:val="24"/>
          <w:szCs w:val="24"/>
          <w:lang w:val="en-US"/>
        </w:rPr>
        <w:t xml:space="preserve"> Di mana, Gubernur sebagai wakil Pemerintah Pusat melakukan pengkajian dan penelitian terhadap rancangan Perda dan Perkada sebelum ditetapkan menjadi Perda dan Perkada.</w:t>
      </w:r>
      <w:r>
        <w:rPr>
          <w:rFonts w:ascii="Times New Roman" w:hAnsi="Times New Roman" w:cs="Times New Roman"/>
          <w:sz w:val="24"/>
          <w:szCs w:val="24"/>
        </w:rPr>
        <w:t xml:space="preserve"> Hal itu sesuai dengan ketentuan Pasal 8 UU. No. 23 Tahun 2014. Cara itu untuk menghindarkan terbitnya Perda dan Perkada bermasalah. Apa bila Rancangan Perda dan Perkada sudah mendapat persetujuan Gubernur, Perda dan Perkada tersebut tidak bisa lagi dibatalkan oleh Gubernur.</w:t>
      </w:r>
    </w:p>
    <w:p>
      <w:pPr>
        <w:spacing w:line="259" w:lineRule="auto"/>
        <w:rPr>
          <w:rFonts w:ascii="Times New Roman" w:hAnsi="Times New Roman" w:cs="Times New Roman"/>
          <w:b/>
          <w:sz w:val="24"/>
          <w:szCs w:val="24"/>
          <w:lang w:val="sv-SE"/>
        </w:rPr>
      </w:pPr>
    </w:p>
    <w:p>
      <w:pPr>
        <w:numPr>
          <w:ilvl w:val="0"/>
          <w:numId w:val="42"/>
        </w:numPr>
        <w:spacing w:line="259" w:lineRule="auto"/>
        <w:ind w:left="425" w:leftChars="0" w:hanging="425" w:firstLineChars="0"/>
        <w:rPr>
          <w:rFonts w:ascii="Times New Roman" w:hAnsi="Times New Roman" w:cs="Times New Roman"/>
          <w:b/>
          <w:sz w:val="24"/>
          <w:szCs w:val="24"/>
          <w:lang w:val="sv-SE"/>
        </w:rPr>
      </w:pPr>
      <w:r>
        <w:rPr>
          <w:rFonts w:ascii="Times New Roman" w:hAnsi="Times New Roman" w:cs="Times New Roman"/>
          <w:b/>
          <w:sz w:val="24"/>
          <w:szCs w:val="24"/>
          <w:lang w:val="sv-SE"/>
        </w:rPr>
        <w:t>Saran-Saran</w:t>
      </w:r>
    </w:p>
    <w:p>
      <w:pPr>
        <w:pStyle w:val="10"/>
        <w:numPr>
          <w:ilvl w:val="0"/>
          <w:numId w:val="44"/>
        </w:num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sv-SE"/>
        </w:rPr>
        <w:t>Pemerintah Daerah hendaknya mematuhi kaidah penuntun penerbitan Perda dan Perkada untuk menghindarkan terbitnya Perda dan Perkada bermasalah.</w:t>
      </w:r>
    </w:p>
    <w:p>
      <w:pPr>
        <w:pStyle w:val="10"/>
        <w:numPr>
          <w:ilvl w:val="0"/>
          <w:numId w:val="44"/>
        </w:numPr>
        <w:spacing w:after="0" w:line="360" w:lineRule="auto"/>
        <w:jc w:val="both"/>
        <w:rPr>
          <w:rFonts w:ascii="Times New Roman" w:hAnsi="Times New Roman" w:cs="Times New Roman"/>
          <w:sz w:val="24"/>
          <w:szCs w:val="24"/>
          <w:lang w:val="sv-SE"/>
        </w:rPr>
      </w:pPr>
      <w:r>
        <w:rPr>
          <w:rFonts w:ascii="Times New Roman" w:hAnsi="Times New Roman" w:cs="Times New Roman"/>
          <w:sz w:val="24"/>
          <w:szCs w:val="24"/>
          <w:lang w:val="en-US"/>
        </w:rPr>
        <w:t>P</w:t>
      </w:r>
      <w:r>
        <w:rPr>
          <w:rFonts w:ascii="Times New Roman" w:hAnsi="Times New Roman" w:cs="Times New Roman"/>
          <w:sz w:val="24"/>
          <w:szCs w:val="24"/>
        </w:rPr>
        <w:t>utusan MK</w:t>
      </w:r>
      <w:r>
        <w:rPr>
          <w:rFonts w:ascii="Times New Roman" w:hAnsi="Times New Roman" w:cs="Times New Roman"/>
          <w:color w:val="000000"/>
          <w:sz w:val="24"/>
          <w:szCs w:val="24"/>
        </w:rPr>
        <w:t xml:space="preserve"> No. 137/PUU-XII</w:t>
      </w:r>
      <w:r>
        <w:rPr>
          <w:rFonts w:ascii="Times New Roman" w:hAnsi="Times New Roman" w:cs="Times New Roman"/>
          <w:color w:val="000000"/>
          <w:sz w:val="24"/>
          <w:szCs w:val="24"/>
          <w:lang w:val="en-US"/>
        </w:rPr>
        <w:t>I</w:t>
      </w:r>
      <w:r>
        <w:rPr>
          <w:rFonts w:ascii="Times New Roman" w:hAnsi="Times New Roman" w:cs="Times New Roman"/>
          <w:color w:val="000000"/>
          <w:sz w:val="24"/>
          <w:szCs w:val="24"/>
        </w:rPr>
        <w:t>/2015</w:t>
      </w:r>
      <w:r>
        <w:rPr>
          <w:rFonts w:ascii="Times New Roman" w:hAnsi="Times New Roman" w:cs="Times New Roman"/>
          <w:color w:val="000000"/>
          <w:sz w:val="24"/>
          <w:szCs w:val="24"/>
          <w:lang w:val="en-US"/>
        </w:rPr>
        <w:t xml:space="preserve"> adalah sebuah keputusan hukum yang harus dihormati dan dipatuhi. Oleh karena itu, perlu dilakukan sosialisasi keputusan tersebut agar tidak salah dalam membatalkan Perda dan Perkada.</w:t>
      </w:r>
      <w:r>
        <w:rPr>
          <w:rFonts w:ascii="Times New Roman" w:hAnsi="Times New Roman" w:cs="Times New Roman"/>
          <w:sz w:val="24"/>
          <w:szCs w:val="24"/>
          <w:lang w:val="sv-SE"/>
        </w:rPr>
        <w:t xml:space="preserve"> </w:t>
      </w:r>
    </w:p>
    <w:p>
      <w:pPr>
        <w:pStyle w:val="10"/>
        <w:numPr>
          <w:ilvl w:val="0"/>
          <w:numId w:val="44"/>
        </w:numPr>
        <w:spacing w:after="0" w:line="360" w:lineRule="auto"/>
        <w:jc w:val="both"/>
        <w:rPr>
          <w:rFonts w:ascii="Times New Roman" w:hAnsi="Times New Roman" w:cs="Times New Roman"/>
          <w:sz w:val="24"/>
          <w:szCs w:val="24"/>
        </w:rPr>
      </w:pPr>
      <w:r>
        <w:rPr>
          <w:rFonts w:ascii="Times New Roman" w:hAnsi="Times New Roman" w:cs="Times New Roman"/>
          <w:sz w:val="24"/>
          <w:szCs w:val="24"/>
          <w:lang w:val="sv-SE"/>
        </w:rPr>
        <w:t>Gubernur sebagai wakil Pemerintah Pusat harus berperan aktif dalam melakukan pembinaan terhadap Pemerintah Kabupaten/Kota dalam penerbitan Perda dan Perkada. Hal itu dilakukan dalam menghindarkan terbitnya Perda dan Perkada bermasalah.</w:t>
      </w:r>
    </w:p>
    <w:p>
      <w:pPr>
        <w:spacing w:line="360" w:lineRule="auto"/>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ind w:left="360"/>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rPr>
          <w:rFonts w:ascii="Times New Roman" w:hAnsi="Times New Roman" w:cs="Times New Roman"/>
          <w:b/>
          <w:sz w:val="24"/>
          <w:szCs w:val="24"/>
        </w:rPr>
      </w:pPr>
      <w:r>
        <w:rPr>
          <w:rFonts w:ascii="Times New Roman" w:hAnsi="Times New Roman" w:cs="Times New Roman"/>
          <w:b/>
          <w:sz w:val="24"/>
          <w:szCs w:val="24"/>
        </w:rPr>
        <w:br w:type="page"/>
      </w:r>
    </w:p>
    <w:p>
      <w:pPr>
        <w:spacing w:line="360" w:lineRule="auto"/>
        <w:ind w:left="360"/>
        <w:jc w:val="center"/>
        <w:rPr>
          <w:rFonts w:ascii="Times New Roman" w:hAnsi="Times New Roman" w:cs="Times New Roman"/>
          <w:b/>
          <w:sz w:val="24"/>
          <w:szCs w:val="24"/>
          <w:lang w:val="id-ID"/>
        </w:rPr>
      </w:pPr>
      <w:r>
        <w:rPr>
          <w:rFonts w:ascii="Times New Roman" w:hAnsi="Times New Roman" w:cs="Times New Roman"/>
          <w:b/>
          <w:sz w:val="24"/>
          <w:szCs w:val="24"/>
        </w:rPr>
        <w:t>Daftar Pustaka</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Atmosudirjo, Prajudi. </w:t>
      </w:r>
      <w:r>
        <w:rPr>
          <w:rFonts w:ascii="Times New Roman" w:hAnsi="Times New Roman" w:cs="Times New Roman"/>
          <w:i/>
          <w:sz w:val="24"/>
          <w:szCs w:val="24"/>
        </w:rPr>
        <w:t>Hukum Administrasi Negara</w:t>
      </w:r>
      <w:r>
        <w:rPr>
          <w:rFonts w:ascii="Times New Roman" w:hAnsi="Times New Roman" w:cs="Times New Roman"/>
          <w:sz w:val="24"/>
          <w:szCs w:val="24"/>
        </w:rPr>
        <w:t>. Jakarta: Ghalia Indonesia, 1981.</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Basah, Sjachran. </w:t>
      </w:r>
      <w:r>
        <w:rPr>
          <w:rFonts w:ascii="Times New Roman" w:hAnsi="Times New Roman" w:cs="Times New Roman"/>
          <w:i/>
          <w:sz w:val="24"/>
          <w:szCs w:val="24"/>
        </w:rPr>
        <w:t>Perlindungan Hukum Terhadap Sikap-Tindak Administrasi Negara</w:t>
      </w:r>
      <w:r>
        <w:rPr>
          <w:rFonts w:ascii="Times New Roman" w:hAnsi="Times New Roman" w:cs="Times New Roman"/>
          <w:sz w:val="24"/>
          <w:szCs w:val="24"/>
        </w:rPr>
        <w:t>. Bandung: Alumni 1986.</w:t>
      </w:r>
    </w:p>
    <w:p>
      <w:pPr>
        <w:spacing w:line="36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Black, Henry Campbell. </w:t>
      </w:r>
      <w:r>
        <w:rPr>
          <w:rFonts w:ascii="Times New Roman" w:hAnsi="Times New Roman" w:cs="Times New Roman"/>
          <w:i/>
          <w:sz w:val="24"/>
          <w:szCs w:val="24"/>
        </w:rPr>
        <w:t>Black’s Law Dictionary</w:t>
      </w:r>
      <w:r>
        <w:rPr>
          <w:rFonts w:ascii="Times New Roman" w:hAnsi="Times New Roman" w:cs="Times New Roman"/>
          <w:sz w:val="24"/>
          <w:szCs w:val="24"/>
        </w:rPr>
        <w:t>. West Publishing, 1990.</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Budiarjo, Miriam. </w:t>
      </w:r>
      <w:r>
        <w:rPr>
          <w:rStyle w:val="7"/>
          <w:rFonts w:ascii="Times New Roman" w:hAnsi="Times New Roman" w:cs="Times New Roman"/>
          <w:i/>
          <w:color w:val="auto"/>
          <w:sz w:val="24"/>
          <w:szCs w:val="24"/>
          <w:u w:val="none"/>
        </w:rPr>
        <w:t>Dasar- Dasar Ilmu Politik</w:t>
      </w:r>
      <w:r>
        <w:rPr>
          <w:rStyle w:val="7"/>
          <w:rFonts w:ascii="Times New Roman" w:hAnsi="Times New Roman" w:cs="Times New Roman"/>
          <w:color w:val="auto"/>
          <w:sz w:val="24"/>
          <w:szCs w:val="24"/>
          <w:u w:val="none"/>
        </w:rPr>
        <w:t>. Jakarta: PT. Gramedia Pustaka Utama, 2004.</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Carl, JF. Friedrich. </w:t>
      </w:r>
      <w:r>
        <w:rPr>
          <w:rStyle w:val="7"/>
          <w:rFonts w:ascii="Times New Roman" w:hAnsi="Times New Roman" w:cs="Times New Roman"/>
          <w:i/>
          <w:color w:val="auto"/>
          <w:sz w:val="24"/>
          <w:szCs w:val="24"/>
          <w:u w:val="none"/>
        </w:rPr>
        <w:t>Constitutional Government and Democracy: Theory and Practice in Europe and America</w:t>
      </w:r>
      <w:r>
        <w:rPr>
          <w:rStyle w:val="7"/>
          <w:rFonts w:ascii="Times New Roman" w:hAnsi="Times New Roman" w:cs="Times New Roman"/>
          <w:color w:val="auto"/>
          <w:sz w:val="24"/>
          <w:szCs w:val="24"/>
          <w:u w:val="none"/>
        </w:rPr>
        <w:t>. 5</w:t>
      </w:r>
      <w:r>
        <w:rPr>
          <w:rStyle w:val="7"/>
          <w:rFonts w:ascii="Times New Roman" w:hAnsi="Times New Roman" w:cs="Times New Roman"/>
          <w:color w:val="auto"/>
          <w:sz w:val="24"/>
          <w:szCs w:val="24"/>
          <w:u w:val="none"/>
          <w:vertAlign w:val="superscript"/>
        </w:rPr>
        <w:t xml:space="preserve">th </w:t>
      </w:r>
      <w:r>
        <w:rPr>
          <w:rStyle w:val="7"/>
          <w:rFonts w:ascii="Times New Roman" w:hAnsi="Times New Roman" w:cs="Times New Roman"/>
          <w:color w:val="auto"/>
          <w:sz w:val="24"/>
          <w:szCs w:val="24"/>
          <w:u w:val="none"/>
        </w:rPr>
        <w:t>Ed. Weltham, Mass: Blaidsdell Publishing Company, 1967.</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Fahruddin, Irfan. </w:t>
      </w:r>
      <w:r>
        <w:rPr>
          <w:rFonts w:ascii="Times New Roman" w:hAnsi="Times New Roman" w:cs="Times New Roman"/>
          <w:i/>
          <w:sz w:val="24"/>
          <w:szCs w:val="24"/>
        </w:rPr>
        <w:t>Pengawasan Peradilan Administrasi Terhadap Tindakan Pemerintah</w:t>
      </w:r>
      <w:r>
        <w:rPr>
          <w:rFonts w:ascii="Times New Roman" w:hAnsi="Times New Roman" w:cs="Times New Roman"/>
          <w:sz w:val="24"/>
          <w:szCs w:val="24"/>
        </w:rPr>
        <w:t>. Bandung: Alumni, 2004.</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Fatkhurohman, “Implikasi Pembatalan Perda Terhadap Ketepatan Proporsi Teori Penegakan Hukum dalam Sistem Peradilan Di Indonesia.” </w:t>
      </w:r>
      <w:r>
        <w:rPr>
          <w:rStyle w:val="7"/>
          <w:rFonts w:ascii="Times New Roman" w:hAnsi="Times New Roman" w:cs="Times New Roman"/>
          <w:i/>
          <w:color w:val="auto"/>
          <w:sz w:val="24"/>
          <w:szCs w:val="24"/>
          <w:u w:val="none"/>
        </w:rPr>
        <w:t>Jurnal Dinamika Hukum Vol. 13 No. 1</w:t>
      </w:r>
      <w:r>
        <w:rPr>
          <w:rStyle w:val="7"/>
          <w:rFonts w:ascii="Times New Roman" w:hAnsi="Times New Roman" w:cs="Times New Roman"/>
          <w:color w:val="auto"/>
          <w:sz w:val="24"/>
          <w:szCs w:val="24"/>
          <w:u w:val="none"/>
        </w:rPr>
        <w:t xml:space="preserve"> (Januari 2013).</w:t>
      </w:r>
    </w:p>
    <w:p>
      <w:pPr>
        <w:spacing w:line="36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H.D, Stout. </w:t>
      </w:r>
      <w:r>
        <w:rPr>
          <w:rFonts w:ascii="Times New Roman" w:hAnsi="Times New Roman" w:cs="Times New Roman"/>
          <w:i/>
          <w:sz w:val="24"/>
          <w:szCs w:val="24"/>
        </w:rPr>
        <w:t>De Betekenissen van de Wet</w:t>
      </w:r>
      <w:r>
        <w:rPr>
          <w:rFonts w:ascii="Times New Roman" w:hAnsi="Times New Roman" w:cs="Times New Roman"/>
          <w:sz w:val="24"/>
          <w:szCs w:val="24"/>
        </w:rPr>
        <w:t>. Zwolle: W.E.J. Tjeenk Willink, 1990.</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Hadjon, Philipus M. </w:t>
      </w:r>
      <w:r>
        <w:rPr>
          <w:rFonts w:ascii="Times New Roman" w:hAnsi="Times New Roman" w:cs="Times New Roman"/>
          <w:i/>
          <w:sz w:val="24"/>
          <w:szCs w:val="24"/>
        </w:rPr>
        <w:t>Tentang Wewenang</w:t>
      </w:r>
      <w:r>
        <w:rPr>
          <w:rFonts w:ascii="Times New Roman" w:hAnsi="Times New Roman" w:cs="Times New Roman"/>
          <w:sz w:val="24"/>
          <w:szCs w:val="24"/>
        </w:rPr>
        <w:t>. Tanpa kota terbit: Yuridika No. 5 &amp; 6 Tahun XII, Sep – Des 1997.</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Huda, Ni’matul. </w:t>
      </w:r>
      <w:r>
        <w:rPr>
          <w:rFonts w:ascii="Times New Roman" w:hAnsi="Times New Roman" w:cs="Times New Roman"/>
          <w:i/>
          <w:sz w:val="24"/>
          <w:szCs w:val="24"/>
        </w:rPr>
        <w:t>Perkembangan Hukum Tata Negara Perdebatas &amp; Gagasan Penyempurnaan</w:t>
      </w:r>
      <w:r>
        <w:rPr>
          <w:rFonts w:ascii="Times New Roman" w:hAnsi="Times New Roman" w:cs="Times New Roman"/>
          <w:sz w:val="24"/>
          <w:szCs w:val="24"/>
        </w:rPr>
        <w:t>. Yogyakarta: FH. UII Press, 2014.</w:t>
      </w:r>
    </w:p>
    <w:p>
      <w:pPr>
        <w:spacing w:line="360" w:lineRule="auto"/>
        <w:ind w:left="993" w:hanging="993"/>
        <w:jc w:val="both"/>
        <w:rPr>
          <w:rFonts w:ascii="Times New Roman" w:hAnsi="Times New Roman" w:cs="Times New Roman"/>
          <w:b/>
          <w:sz w:val="24"/>
          <w:szCs w:val="24"/>
          <w:lang w:val="id-ID"/>
        </w:rPr>
      </w:pPr>
      <w:r>
        <w:rPr>
          <w:rFonts w:ascii="Times New Roman" w:hAnsi="Times New Roman" w:cs="Times New Roman"/>
          <w:sz w:val="24"/>
          <w:szCs w:val="24"/>
        </w:rPr>
        <w:t>Indonesia. Undang-Undang Dasar Negera Republik Indonesia Tahun 1945.</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u w:val="single"/>
        </w:rPr>
        <w:t xml:space="preserve">          </w:t>
      </w:r>
      <w:r>
        <w:rPr>
          <w:rFonts w:ascii="Times New Roman" w:hAnsi="Times New Roman" w:cs="Times New Roman"/>
          <w:sz w:val="24"/>
          <w:szCs w:val="24"/>
        </w:rPr>
        <w:t xml:space="preserve">. Undang-Undang Nomor 12 Tahun 2011 </w:t>
      </w:r>
      <w:r>
        <w:rPr>
          <w:rFonts w:ascii="Times New Roman" w:hAnsi="Times New Roman" w:cs="Times New Roman"/>
          <w:i/>
          <w:sz w:val="24"/>
          <w:szCs w:val="24"/>
        </w:rPr>
        <w:t>tentang</w:t>
      </w:r>
      <w:r>
        <w:rPr>
          <w:rFonts w:ascii="Times New Roman" w:hAnsi="Times New Roman" w:cs="Times New Roman"/>
          <w:sz w:val="24"/>
          <w:szCs w:val="24"/>
        </w:rPr>
        <w:t xml:space="preserve"> </w:t>
      </w:r>
      <w:r>
        <w:rPr>
          <w:rFonts w:ascii="Times New Roman" w:hAnsi="Times New Roman" w:cs="Times New Roman"/>
          <w:i/>
          <w:sz w:val="24"/>
          <w:szCs w:val="24"/>
        </w:rPr>
        <w:t>Pembentukan Peraturan Perundang-Undangan</w:t>
      </w:r>
      <w:r>
        <w:rPr>
          <w:rFonts w:ascii="Times New Roman" w:hAnsi="Times New Roman" w:cs="Times New Roman"/>
          <w:sz w:val="24"/>
          <w:szCs w:val="24"/>
        </w:rPr>
        <w:t>.</w:t>
      </w:r>
    </w:p>
    <w:p>
      <w:pPr>
        <w:spacing w:line="360" w:lineRule="auto"/>
        <w:ind w:left="993" w:hanging="993"/>
        <w:jc w:val="both"/>
        <w:rPr>
          <w:rFonts w:ascii="Times New Roman" w:hAnsi="Times New Roman" w:cs="Times New Roman"/>
          <w:sz w:val="24"/>
          <w:szCs w:val="24"/>
        </w:rPr>
      </w:pPr>
      <w:r>
        <w:rPr>
          <w:rFonts w:ascii="Times New Roman" w:hAnsi="Times New Roman" w:cs="Times New Roman"/>
          <w:sz w:val="24"/>
          <w:szCs w:val="24"/>
          <w:u w:val="single"/>
        </w:rPr>
        <w:t xml:space="preserve">          </w:t>
      </w:r>
      <w:r>
        <w:rPr>
          <w:rFonts w:ascii="Times New Roman" w:hAnsi="Times New Roman" w:cs="Times New Roman"/>
          <w:sz w:val="24"/>
          <w:szCs w:val="24"/>
        </w:rPr>
        <w:t xml:space="preserve">. Undang-Undang Nomor 23 Tahun 2014 </w:t>
      </w:r>
      <w:r>
        <w:rPr>
          <w:rFonts w:ascii="Times New Roman" w:hAnsi="Times New Roman" w:cs="Times New Roman"/>
          <w:i/>
          <w:sz w:val="24"/>
          <w:szCs w:val="24"/>
        </w:rPr>
        <w:t>tentang</w:t>
      </w:r>
      <w:r>
        <w:rPr>
          <w:rFonts w:ascii="Times New Roman" w:hAnsi="Times New Roman" w:cs="Times New Roman"/>
          <w:sz w:val="24"/>
          <w:szCs w:val="24"/>
        </w:rPr>
        <w:t xml:space="preserve"> </w:t>
      </w:r>
      <w:r>
        <w:rPr>
          <w:rFonts w:ascii="Times New Roman" w:hAnsi="Times New Roman" w:cs="Times New Roman"/>
          <w:i/>
          <w:sz w:val="24"/>
          <w:szCs w:val="24"/>
        </w:rPr>
        <w:t>Pemerintahan Daera</w:t>
      </w:r>
      <w:r>
        <w:rPr>
          <w:rFonts w:ascii="Times New Roman" w:hAnsi="Times New Roman" w:cs="Times New Roman"/>
          <w:sz w:val="24"/>
          <w:szCs w:val="24"/>
        </w:rPr>
        <w:t>.</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u w:val="single"/>
        </w:rPr>
        <w:t xml:space="preserve">          </w:t>
      </w:r>
      <w:r>
        <w:rPr>
          <w:rFonts w:ascii="Times New Roman" w:hAnsi="Times New Roman" w:cs="Times New Roman"/>
          <w:sz w:val="24"/>
          <w:szCs w:val="24"/>
        </w:rPr>
        <w:t xml:space="preserve">. Undang-Undang Nomor 24 Tahun 2011 </w:t>
      </w:r>
      <w:r>
        <w:rPr>
          <w:rFonts w:ascii="Times New Roman" w:hAnsi="Times New Roman" w:cs="Times New Roman"/>
          <w:i/>
          <w:sz w:val="24"/>
          <w:szCs w:val="24"/>
        </w:rPr>
        <w:t>tentang Badan Penyelenggara Jaminan Sosial</w:t>
      </w:r>
      <w:r>
        <w:rPr>
          <w:rFonts w:ascii="Times New Roman" w:hAnsi="Times New Roman" w:cs="Times New Roman"/>
          <w:sz w:val="24"/>
          <w:szCs w:val="24"/>
        </w:rPr>
        <w:t>.</w:t>
      </w:r>
    </w:p>
    <w:p>
      <w:pPr>
        <w:spacing w:line="240" w:lineRule="auto"/>
        <w:ind w:left="993" w:hanging="993"/>
        <w:jc w:val="both"/>
        <w:rPr>
          <w:rStyle w:val="7"/>
          <w:rFonts w:ascii="Times New Roman" w:hAnsi="Times New Roman" w:cs="Times New Roman"/>
          <w:color w:val="auto"/>
          <w:sz w:val="24"/>
          <w:szCs w:val="24"/>
          <w:u w:val="none"/>
        </w:rPr>
      </w:pPr>
      <w:r>
        <w:rPr>
          <w:rFonts w:ascii="Times New Roman" w:hAnsi="Times New Roman" w:cs="Times New Roman"/>
          <w:sz w:val="24"/>
          <w:szCs w:val="24"/>
        </w:rPr>
        <w:t xml:space="preserve">Isrok. “Korelasi Antara Peraturan Daerah (Perda) Bermasalah dengan Tingkat Investasi ke Daerah.” </w:t>
      </w:r>
      <w:r>
        <w:rPr>
          <w:rFonts w:ascii="Times New Roman" w:hAnsi="Times New Roman" w:cs="Times New Roman"/>
          <w:i/>
          <w:sz w:val="24"/>
          <w:szCs w:val="24"/>
        </w:rPr>
        <w:t>Jurnal Hukum Vol. 16 No. 4</w:t>
      </w:r>
      <w:r>
        <w:rPr>
          <w:rFonts w:ascii="Times New Roman" w:hAnsi="Times New Roman" w:cs="Times New Roman"/>
          <w:sz w:val="24"/>
          <w:szCs w:val="24"/>
        </w:rPr>
        <w:t xml:space="preserve">. (Oktober 2009. Diakses 29 Maret 2018. </w:t>
      </w:r>
      <w:r>
        <w:fldChar w:fldCharType="begin"/>
      </w:r>
      <w:r>
        <w:instrText xml:space="preserve"> HYPERLINK </w:instrText>
      </w:r>
      <w:r>
        <w:fldChar w:fldCharType="separate"/>
      </w:r>
      <w:r>
        <w:rPr>
          <w:rStyle w:val="7"/>
          <w:rFonts w:ascii="Times New Roman" w:hAnsi="Times New Roman" w:cs="Times New Roman"/>
          <w:color w:val="auto"/>
          <w:sz w:val="24"/>
          <w:szCs w:val="24"/>
          <w:u w:val="none"/>
        </w:rPr>
        <w:t>https://media. neliti. com /media /publications/82820-ID-korelasi-antara-peraturan-daerah-perda-b.pdf</w:t>
      </w:r>
      <w:r>
        <w:rPr>
          <w:rStyle w:val="7"/>
          <w:rFonts w:ascii="Times New Roman" w:hAnsi="Times New Roman" w:cs="Times New Roman"/>
          <w:color w:val="auto"/>
          <w:sz w:val="24"/>
          <w:szCs w:val="24"/>
          <w:u w:val="none"/>
        </w:rPr>
        <w:fldChar w:fldCharType="end"/>
      </w:r>
      <w:r>
        <w:rPr>
          <w:rStyle w:val="7"/>
          <w:rFonts w:ascii="Times New Roman" w:hAnsi="Times New Roman" w:cs="Times New Roman"/>
          <w:color w:val="auto"/>
          <w:sz w:val="24"/>
          <w:szCs w:val="24"/>
          <w:u w:val="none"/>
        </w:rPr>
        <w:t>.</w:t>
      </w:r>
    </w:p>
    <w:p>
      <w:pPr>
        <w:spacing w:line="36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Kelsen, Hans. </w:t>
      </w:r>
      <w:r>
        <w:rPr>
          <w:rStyle w:val="7"/>
          <w:rFonts w:ascii="Times New Roman" w:hAnsi="Times New Roman" w:cs="Times New Roman"/>
          <w:i/>
          <w:color w:val="auto"/>
          <w:sz w:val="24"/>
          <w:szCs w:val="24"/>
          <w:u w:val="none"/>
        </w:rPr>
        <w:t>General Theory of Law and State</w:t>
      </w:r>
      <w:r>
        <w:rPr>
          <w:rStyle w:val="7"/>
          <w:rFonts w:ascii="Times New Roman" w:hAnsi="Times New Roman" w:cs="Times New Roman"/>
          <w:color w:val="auto"/>
          <w:sz w:val="24"/>
          <w:szCs w:val="24"/>
          <w:u w:val="none"/>
        </w:rPr>
        <w:t>. New York: Russel &amp; Russel, 1973.</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Kementerian Dalam Negeri. “Daftar Perda/Perkada dan Peraturan Menteri Dalam Negeri yang Dibatalkan/Revisi.” </w:t>
      </w:r>
      <w:r>
        <w:fldChar w:fldCharType="begin"/>
      </w:r>
      <w:r>
        <w:instrText xml:space="preserve"> HYPERLINK "http://www.kemendagri.go.id/media/filemanager/2016/06/21/b/a/batal_perda_21_juni_2016_pdf" </w:instrText>
      </w:r>
      <w:r>
        <w:fldChar w:fldCharType="separate"/>
      </w:r>
      <w:r>
        <w:rPr>
          <w:rStyle w:val="7"/>
          <w:rFonts w:ascii="Times New Roman" w:hAnsi="Times New Roman" w:cs="Times New Roman"/>
          <w:color w:val="auto"/>
          <w:sz w:val="24"/>
          <w:szCs w:val="24"/>
          <w:u w:val="none"/>
        </w:rPr>
        <w:t>www. kemendagri. go .id/ media /file manager /2016 /06/ 21/b/a/ batal_perda_21_juni_2016_pdf</w:t>
      </w:r>
      <w:r>
        <w:rPr>
          <w:rStyle w:val="7"/>
          <w:rFonts w:ascii="Times New Roman" w:hAnsi="Times New Roman" w:cs="Times New Roman"/>
          <w:color w:val="auto"/>
          <w:sz w:val="24"/>
          <w:szCs w:val="24"/>
          <w:u w:val="none"/>
        </w:rPr>
        <w:fldChar w:fldCharType="end"/>
      </w:r>
      <w:r>
        <w:rPr>
          <w:rStyle w:val="7"/>
          <w:rFonts w:ascii="Times New Roman" w:hAnsi="Times New Roman" w:cs="Times New Roman"/>
          <w:color w:val="auto"/>
          <w:sz w:val="24"/>
          <w:szCs w:val="24"/>
          <w:u w:val="none"/>
        </w:rPr>
        <w:t>. Diakses 31 Maret 2018.</w:t>
      </w:r>
    </w:p>
    <w:p>
      <w:pPr>
        <w:spacing w:line="36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Latif, Abdul. </w:t>
      </w:r>
      <w:r>
        <w:rPr>
          <w:rFonts w:ascii="Times New Roman" w:hAnsi="Times New Roman" w:cs="Times New Roman"/>
          <w:i/>
          <w:sz w:val="24"/>
          <w:szCs w:val="24"/>
        </w:rPr>
        <w:t>Hukum Administrasi dalam Praktik Tindak Pidana Korupsi</w:t>
      </w:r>
      <w:r>
        <w:rPr>
          <w:rFonts w:ascii="Times New Roman" w:hAnsi="Times New Roman" w:cs="Times New Roman"/>
          <w:sz w:val="24"/>
          <w:szCs w:val="24"/>
        </w:rPr>
        <w:t>. Jakarta: Prenada Media Grup, 2014.</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Manan, Bagir. </w:t>
      </w:r>
      <w:r>
        <w:rPr>
          <w:rStyle w:val="7"/>
          <w:rFonts w:ascii="Times New Roman" w:hAnsi="Times New Roman" w:cs="Times New Roman"/>
          <w:i/>
          <w:color w:val="auto"/>
          <w:sz w:val="24"/>
          <w:szCs w:val="24"/>
          <w:u w:val="none"/>
        </w:rPr>
        <w:t>Pertumbuhan dan Perkembangan Konstitusi Suatu Negara</w:t>
      </w:r>
      <w:r>
        <w:rPr>
          <w:rStyle w:val="7"/>
          <w:rFonts w:ascii="Times New Roman" w:hAnsi="Times New Roman" w:cs="Times New Roman"/>
          <w:color w:val="auto"/>
          <w:sz w:val="24"/>
          <w:szCs w:val="24"/>
          <w:u w:val="none"/>
        </w:rPr>
        <w:t>. Penyunting H. Mashudi dan Kuntana Magnar. Bandung: Mandar Maju, 1995.</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Pr>
          <w:rFonts w:ascii="Times New Roman" w:hAnsi="Times New Roman" w:cs="Times New Roman"/>
          <w:i/>
          <w:sz w:val="24"/>
          <w:szCs w:val="24"/>
        </w:rPr>
        <w:t>Wewenang Propinsi, Kabupaten dan Kota dalam Rangka Otonomi Daerah</w:t>
      </w:r>
      <w:r>
        <w:rPr>
          <w:rFonts w:ascii="Times New Roman" w:hAnsi="Times New Roman" w:cs="Times New Roman"/>
          <w:sz w:val="24"/>
          <w:szCs w:val="24"/>
        </w:rPr>
        <w:t>. Makalah pada Seminar Nasional Pengembangan Wilayah dan Pengelolaan Sumber Daya Alam di Kawasan Pesisir dalam Rangka Penataan Ruang, Fakultas Hukum Universitas Padjajaran. Bandung: 2000.</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Marbun, S.F. </w:t>
      </w:r>
      <w:r>
        <w:rPr>
          <w:rFonts w:ascii="Times New Roman" w:hAnsi="Times New Roman" w:cs="Times New Roman"/>
          <w:i/>
          <w:sz w:val="24"/>
          <w:szCs w:val="24"/>
        </w:rPr>
        <w:t>Peradilan Administrasi Negara dan Upaya Administratif di Indonesia</w:t>
      </w:r>
      <w:r>
        <w:rPr>
          <w:rFonts w:ascii="Times New Roman" w:hAnsi="Times New Roman" w:cs="Times New Roman"/>
          <w:sz w:val="24"/>
          <w:szCs w:val="24"/>
        </w:rPr>
        <w:t>. Yogyakarta: Liberty, 1997.</w:t>
      </w:r>
    </w:p>
    <w:p>
      <w:pPr>
        <w:spacing w:line="36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P, Nicolai &amp; Oliver B.K. </w:t>
      </w:r>
      <w:r>
        <w:rPr>
          <w:rFonts w:ascii="Times New Roman" w:hAnsi="Times New Roman" w:cs="Times New Roman"/>
          <w:i/>
          <w:sz w:val="24"/>
          <w:szCs w:val="24"/>
        </w:rPr>
        <w:t>Bestuursrect</w:t>
      </w:r>
      <w:r>
        <w:rPr>
          <w:rFonts w:ascii="Times New Roman" w:hAnsi="Times New Roman" w:cs="Times New Roman"/>
          <w:sz w:val="24"/>
          <w:szCs w:val="24"/>
        </w:rPr>
        <w:t>. Amsterdam.</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Panjaitan, Marojahan JS. “Penyelesaian Penyalahgunaan Wewenang yang Menimbulkan Kerugian Negara Menurut Hukum Administrasi Pemerintahan.” </w:t>
      </w:r>
      <w:r>
        <w:rPr>
          <w:rStyle w:val="7"/>
          <w:rFonts w:ascii="Times New Roman" w:hAnsi="Times New Roman" w:cs="Times New Roman"/>
          <w:i/>
          <w:color w:val="auto"/>
          <w:sz w:val="24"/>
          <w:szCs w:val="24"/>
          <w:u w:val="none"/>
        </w:rPr>
        <w:t>Jurnal Hukum Ius Quia Iustum Vol. 24 No. 3</w:t>
      </w:r>
      <w:r>
        <w:rPr>
          <w:rStyle w:val="7"/>
          <w:rFonts w:ascii="Times New Roman" w:hAnsi="Times New Roman" w:cs="Times New Roman"/>
          <w:color w:val="auto"/>
          <w:sz w:val="24"/>
          <w:szCs w:val="24"/>
          <w:u w:val="none"/>
        </w:rPr>
        <w:t xml:space="preserve"> (Juli 2917).</w:t>
      </w:r>
    </w:p>
    <w:p>
      <w:pPr>
        <w:spacing w:line="360" w:lineRule="auto"/>
        <w:ind w:left="993" w:hanging="993"/>
        <w:jc w:val="both"/>
        <w:rPr>
          <w:rFonts w:ascii="Times New Roman" w:hAnsi="Times New Roman" w:cs="Times New Roman"/>
          <w:sz w:val="24"/>
          <w:szCs w:val="24"/>
        </w:rPr>
      </w:pP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Pr>
          <w:rFonts w:ascii="Times New Roman" w:hAnsi="Times New Roman" w:cs="Times New Roman"/>
          <w:i/>
          <w:sz w:val="24"/>
          <w:szCs w:val="24"/>
        </w:rPr>
        <w:t>Membangun Badan Peradilan yang Beradab, Berbudaya, dan Berkeadilan Menurut Teori, Praktik dan UUD 1945</w:t>
      </w:r>
      <w:r>
        <w:rPr>
          <w:rFonts w:ascii="Times New Roman" w:hAnsi="Times New Roman" w:cs="Times New Roman"/>
          <w:sz w:val="24"/>
          <w:szCs w:val="24"/>
        </w:rPr>
        <w:t>. Bandung: Pustaka Reka Cipta, 2018.</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Pr>
          <w:rFonts w:ascii="Times New Roman" w:hAnsi="Times New Roman" w:cs="Times New Roman"/>
          <w:i/>
          <w:sz w:val="24"/>
          <w:szCs w:val="24"/>
        </w:rPr>
        <w:t>Pembentukan &amp; Perubahan Undang-Undang Berdasarkan UUD 1945</w:t>
      </w:r>
      <w:r>
        <w:rPr>
          <w:rFonts w:ascii="Times New Roman" w:hAnsi="Times New Roman" w:cs="Times New Roman"/>
          <w:sz w:val="24"/>
          <w:szCs w:val="24"/>
        </w:rPr>
        <w:t>. Bandung: Pustaka Reka Cipta, 2017.</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Pusat Bahasa Departemen Pendidikan Nasional. </w:t>
      </w:r>
      <w:r>
        <w:rPr>
          <w:rFonts w:ascii="Times New Roman" w:hAnsi="Times New Roman" w:cs="Times New Roman"/>
          <w:i/>
          <w:sz w:val="24"/>
          <w:szCs w:val="24"/>
        </w:rPr>
        <w:t>Kamus Besar Bahasa Indonesia</w:t>
      </w:r>
      <w:r>
        <w:rPr>
          <w:rFonts w:ascii="Times New Roman" w:hAnsi="Times New Roman" w:cs="Times New Roman"/>
          <w:sz w:val="24"/>
          <w:szCs w:val="24"/>
        </w:rPr>
        <w:t>. Edisi Ketiga. Jakarta: Balai Pustaka, 2005.</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Ranawijaya, Usep. </w:t>
      </w:r>
      <w:r>
        <w:rPr>
          <w:rFonts w:ascii="Times New Roman" w:hAnsi="Times New Roman" w:cs="Times New Roman"/>
          <w:i/>
          <w:sz w:val="24"/>
          <w:szCs w:val="24"/>
        </w:rPr>
        <w:t>Hukum Tata Negara Indonesia Dasar-Dasarnya</w:t>
      </w:r>
      <w:r>
        <w:rPr>
          <w:rFonts w:ascii="Times New Roman" w:hAnsi="Times New Roman" w:cs="Times New Roman"/>
          <w:sz w:val="24"/>
          <w:szCs w:val="24"/>
        </w:rPr>
        <w:t>. Jakarta: Ghalia Indonesia, 1983.</w:t>
      </w:r>
    </w:p>
    <w:p>
      <w:pPr>
        <w:spacing w:line="240" w:lineRule="auto"/>
        <w:ind w:left="993" w:hanging="993"/>
        <w:jc w:val="both"/>
        <w:rPr>
          <w:rStyle w:val="7"/>
          <w:rFonts w:ascii="Times New Roman" w:hAnsi="Times New Roman" w:cs="Times New Roman"/>
          <w:color w:val="auto"/>
          <w:sz w:val="24"/>
          <w:szCs w:val="24"/>
          <w:u w:val="none"/>
        </w:rPr>
      </w:pPr>
      <w:r>
        <w:rPr>
          <w:rFonts w:ascii="Times New Roman" w:hAnsi="Times New Roman" w:cs="Times New Roman"/>
          <w:sz w:val="24"/>
          <w:szCs w:val="24"/>
        </w:rPr>
        <w:t xml:space="preserve">Sholikhin, M. Nur. “Penghapusan Kewenangan Pemerintah untuk Membatalkan Perda; Momentum Mengefektifkan Pengawasan Preventif dan Pelaksanaan Hak Uji Materiel MA.” </w:t>
      </w:r>
      <w:r>
        <w:rPr>
          <w:rFonts w:ascii="Times New Roman" w:hAnsi="Times New Roman" w:cs="Times New Roman"/>
          <w:i/>
          <w:sz w:val="24"/>
          <w:szCs w:val="24"/>
        </w:rPr>
        <w:t>Jurnal Rechtsvinding, Media Pembinaan Hukum Nasional</w:t>
      </w:r>
      <w:r>
        <w:rPr>
          <w:rFonts w:ascii="Times New Roman" w:hAnsi="Times New Roman" w:cs="Times New Roman"/>
          <w:sz w:val="24"/>
          <w:szCs w:val="24"/>
        </w:rPr>
        <w:t xml:space="preserve">. Diakses 29 Maret 2018. </w:t>
      </w:r>
      <w:r>
        <w:fldChar w:fldCharType="begin"/>
      </w:r>
      <w:r>
        <w:instrText xml:space="preserve"> HYPERLINK </w:instrText>
      </w:r>
      <w:r>
        <w:fldChar w:fldCharType="separate"/>
      </w:r>
      <w:r>
        <w:rPr>
          <w:rStyle w:val="7"/>
          <w:rFonts w:ascii="Times New Roman" w:hAnsi="Times New Roman" w:cs="Times New Roman"/>
          <w:color w:val="auto"/>
          <w:sz w:val="24"/>
          <w:szCs w:val="24"/>
          <w:u w:val="none"/>
        </w:rPr>
        <w:t>http://rechtsvinding.bphn. go. id/ jurnal_online /Putusan %20PUU% 20 Pembatalan %20 Perda. pdf</w:t>
      </w:r>
      <w:r>
        <w:rPr>
          <w:rStyle w:val="7"/>
          <w:rFonts w:ascii="Times New Roman" w:hAnsi="Times New Roman" w:cs="Times New Roman"/>
          <w:color w:val="auto"/>
          <w:sz w:val="24"/>
          <w:szCs w:val="24"/>
          <w:u w:val="none"/>
        </w:rPr>
        <w:fldChar w:fldCharType="end"/>
      </w:r>
      <w:r>
        <w:rPr>
          <w:rStyle w:val="7"/>
          <w:rFonts w:ascii="Times New Roman" w:hAnsi="Times New Roman" w:cs="Times New Roman"/>
          <w:color w:val="auto"/>
          <w:sz w:val="24"/>
          <w:szCs w:val="24"/>
          <w:u w:val="none"/>
        </w:rPr>
        <w:t>.</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Sidharta, Arief Bernard. </w:t>
      </w:r>
      <w:r>
        <w:rPr>
          <w:rStyle w:val="7"/>
          <w:rFonts w:ascii="Times New Roman" w:hAnsi="Times New Roman" w:cs="Times New Roman"/>
          <w:i/>
          <w:color w:val="auto"/>
          <w:sz w:val="24"/>
          <w:szCs w:val="24"/>
          <w:u w:val="none"/>
        </w:rPr>
        <w:t>Ilmu Hukum Indonesia Upaya Pengembangan Ilmu Hukum Sistematik yang Responsif Terhadap Perubahan Masyarakat</w:t>
      </w:r>
      <w:r>
        <w:rPr>
          <w:rStyle w:val="7"/>
          <w:rFonts w:ascii="Times New Roman" w:hAnsi="Times New Roman" w:cs="Times New Roman"/>
          <w:color w:val="auto"/>
          <w:sz w:val="24"/>
          <w:szCs w:val="24"/>
          <w:u w:val="none"/>
        </w:rPr>
        <w:t>. Yogyakarta: Genta Publishing, 2013.</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Simanjuntak, Enrico. “Pengujian Perda dan Perdes Pasca Perubahan UUU Pemda dan UU Desa.” </w:t>
      </w:r>
      <w:r>
        <w:rPr>
          <w:rStyle w:val="7"/>
          <w:rFonts w:ascii="Times New Roman" w:hAnsi="Times New Roman" w:cs="Times New Roman"/>
          <w:i/>
          <w:color w:val="auto"/>
          <w:sz w:val="24"/>
          <w:szCs w:val="24"/>
          <w:u w:val="none"/>
        </w:rPr>
        <w:t>Jurnal Konstitusi Volume 13 Nomor 3</w:t>
      </w:r>
      <w:r>
        <w:rPr>
          <w:rStyle w:val="7"/>
          <w:rFonts w:ascii="Times New Roman" w:hAnsi="Times New Roman" w:cs="Times New Roman"/>
          <w:color w:val="auto"/>
          <w:sz w:val="24"/>
          <w:szCs w:val="24"/>
          <w:u w:val="none"/>
        </w:rPr>
        <w:t xml:space="preserve"> (September 2016).</w:t>
      </w:r>
    </w:p>
    <w:p>
      <w:pPr>
        <w:spacing w:line="36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Soekanto, Soerjono. </w:t>
      </w:r>
      <w:r>
        <w:rPr>
          <w:rStyle w:val="7"/>
          <w:rFonts w:ascii="Times New Roman" w:hAnsi="Times New Roman" w:cs="Times New Roman"/>
          <w:i/>
          <w:color w:val="auto"/>
          <w:sz w:val="24"/>
          <w:szCs w:val="24"/>
          <w:u w:val="none"/>
        </w:rPr>
        <w:t>Pokok-Pokok Sosiologi Hukum</w:t>
      </w:r>
      <w:r>
        <w:rPr>
          <w:rStyle w:val="7"/>
          <w:rFonts w:ascii="Times New Roman" w:hAnsi="Times New Roman" w:cs="Times New Roman"/>
          <w:color w:val="auto"/>
          <w:sz w:val="24"/>
          <w:szCs w:val="24"/>
          <w:u w:val="none"/>
        </w:rPr>
        <w:t>. Jakarta: Rajawali Pers, 1988.</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Soemantri, Sri. </w:t>
      </w:r>
      <w:r>
        <w:rPr>
          <w:rFonts w:ascii="Times New Roman" w:hAnsi="Times New Roman" w:cs="Times New Roman"/>
          <w:i/>
          <w:sz w:val="24"/>
          <w:szCs w:val="24"/>
        </w:rPr>
        <w:t>Ketetapan MPR(S) Sebagai Salah Satu Sumber Hukum Tata Negara,</w:t>
      </w:r>
      <w:r>
        <w:rPr>
          <w:rFonts w:ascii="Times New Roman" w:hAnsi="Times New Roman" w:cs="Times New Roman"/>
          <w:sz w:val="24"/>
          <w:szCs w:val="24"/>
        </w:rPr>
        <w:t>Bandung: Remaja Karya, 1985</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rPr>
        <w:t xml:space="preserve">           </w:t>
      </w:r>
      <w:r>
        <w:rPr>
          <w:rStyle w:val="7"/>
          <w:rFonts w:ascii="Times New Roman" w:hAnsi="Times New Roman" w:cs="Times New Roman"/>
          <w:i/>
          <w:color w:val="auto"/>
          <w:sz w:val="24"/>
          <w:szCs w:val="24"/>
          <w:u w:val="none"/>
        </w:rPr>
        <w:t>,Undang-Undang Dasar dan Ketetapan Majelis Permusyawaratan Rakyat Sebagai Produk Majelis Permusyawaratan Rakyat</w:t>
      </w:r>
      <w:r>
        <w:rPr>
          <w:rStyle w:val="7"/>
          <w:rFonts w:ascii="Times New Roman" w:hAnsi="Times New Roman" w:cs="Times New Roman"/>
          <w:color w:val="auto"/>
          <w:sz w:val="24"/>
          <w:szCs w:val="24"/>
          <w:u w:val="none"/>
        </w:rPr>
        <w:t>. Pidato Pengukuhan Guru Besar Fakultas Hukum Universitas Padjajaran. Bandung: 1987.</w:t>
      </w:r>
    </w:p>
    <w:p>
      <w:pPr>
        <w:spacing w:line="24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Ulya, Zaki. “Pertanggungjawaban Pejabat Pemerintahan dalam Menetapkan Diskresi terhadap Putusan Mahkamah Konstitusi Nomor 25/PUU-XIV/2016” </w:t>
      </w:r>
      <w:r>
        <w:rPr>
          <w:rStyle w:val="7"/>
          <w:rFonts w:ascii="Times New Roman" w:hAnsi="Times New Roman" w:cs="Times New Roman"/>
          <w:i/>
          <w:color w:val="auto"/>
          <w:sz w:val="24"/>
          <w:szCs w:val="24"/>
          <w:u w:val="none"/>
        </w:rPr>
        <w:t>Jurnal Hukum Ius Quia Iustum Vol. 24 No. 3</w:t>
      </w:r>
      <w:r>
        <w:rPr>
          <w:rStyle w:val="7"/>
          <w:rFonts w:ascii="Times New Roman" w:hAnsi="Times New Roman" w:cs="Times New Roman"/>
          <w:color w:val="auto"/>
          <w:sz w:val="24"/>
          <w:szCs w:val="24"/>
          <w:u w:val="none"/>
        </w:rPr>
        <w:t xml:space="preserve"> (Juli 2917).</w:t>
      </w:r>
    </w:p>
    <w:p>
      <w:pPr>
        <w:spacing w:line="360" w:lineRule="auto"/>
        <w:ind w:left="993" w:hanging="993"/>
        <w:jc w:val="both"/>
        <w:rPr>
          <w:rStyle w:val="7"/>
          <w:rFonts w:ascii="Times New Roman" w:hAnsi="Times New Roman" w:cs="Times New Roman"/>
          <w:color w:val="auto"/>
          <w:sz w:val="24"/>
          <w:szCs w:val="24"/>
          <w:u w:val="none"/>
        </w:rPr>
      </w:pPr>
      <w:r>
        <w:rPr>
          <w:rStyle w:val="7"/>
          <w:rFonts w:ascii="Times New Roman" w:hAnsi="Times New Roman" w:cs="Times New Roman"/>
          <w:color w:val="auto"/>
          <w:sz w:val="24"/>
          <w:szCs w:val="24"/>
          <w:u w:val="none"/>
        </w:rPr>
        <w:t xml:space="preserve">Wade and Phillips. </w:t>
      </w:r>
      <w:r>
        <w:rPr>
          <w:rStyle w:val="7"/>
          <w:rFonts w:ascii="Times New Roman" w:hAnsi="Times New Roman" w:cs="Times New Roman"/>
          <w:i/>
          <w:color w:val="auto"/>
          <w:sz w:val="24"/>
          <w:szCs w:val="24"/>
          <w:u w:val="none"/>
        </w:rPr>
        <w:t>Constitusional Law</w:t>
      </w:r>
      <w:r>
        <w:rPr>
          <w:rStyle w:val="7"/>
          <w:rFonts w:ascii="Times New Roman" w:hAnsi="Times New Roman" w:cs="Times New Roman"/>
          <w:color w:val="auto"/>
          <w:sz w:val="24"/>
          <w:szCs w:val="24"/>
          <w:u w:val="none"/>
        </w:rPr>
        <w:t>. London: Longmans, 1965.</w:t>
      </w:r>
    </w:p>
    <w:p>
      <w:pPr>
        <w:spacing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Wijk, H.D van. </w:t>
      </w:r>
      <w:r>
        <w:rPr>
          <w:rFonts w:ascii="Times New Roman" w:hAnsi="Times New Roman" w:cs="Times New Roman"/>
          <w:i/>
          <w:sz w:val="24"/>
          <w:szCs w:val="24"/>
        </w:rPr>
        <w:t>Hoofdstukken van Administratief Recht</w:t>
      </w:r>
      <w:r>
        <w:rPr>
          <w:rFonts w:ascii="Times New Roman" w:hAnsi="Times New Roman" w:cs="Times New Roman"/>
          <w:sz w:val="24"/>
          <w:szCs w:val="24"/>
        </w:rPr>
        <w:t>. S. Gravenhage: Vuga, 1984.</w:t>
      </w:r>
    </w:p>
    <w:p>
      <w:pPr>
        <w:spacing w:after="160" w:line="259" w:lineRule="auto"/>
      </w:pPr>
      <w:bookmarkStart w:id="1" w:name="_GoBack"/>
      <w:bookmarkEnd w:id="1"/>
    </w:p>
    <w:sectPr>
      <w:pgSz w:w="11906" w:h="16838"/>
      <w:pgMar w:top="1701" w:right="1701" w:bottom="1701" w:left="2268"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4"/>
        <w:ind w:firstLine="720"/>
        <w:jc w:val="both"/>
        <w:rPr>
          <w:lang w:val="en-US"/>
        </w:rPr>
      </w:pPr>
      <w:r>
        <w:rPr>
          <w:rStyle w:val="6"/>
        </w:rPr>
        <w:footnoteRef/>
      </w:r>
      <w:r>
        <w:rPr>
          <w:lang w:val="en-US"/>
        </w:rPr>
        <w:t>Pasal 18 Undang-Undang Dasar Negara Republik Indonesia Tahun 1945.</w:t>
      </w:r>
      <w:r>
        <w:t xml:space="preserve"> </w:t>
      </w:r>
    </w:p>
  </w:footnote>
  <w:footnote w:id="1">
    <w:p>
      <w:pPr>
        <w:pStyle w:val="4"/>
        <w:ind w:firstLine="720"/>
        <w:jc w:val="both"/>
        <w:rPr>
          <w:lang w:val="en-US"/>
        </w:rPr>
      </w:pPr>
      <w:r>
        <w:rPr>
          <w:rStyle w:val="6"/>
        </w:rPr>
        <w:footnoteRef/>
      </w:r>
      <w:r>
        <w:rPr>
          <w:lang w:val="en-US"/>
        </w:rPr>
        <w:t xml:space="preserve">Dalam Pasal 1 angka 25 Undang-Undang Nomor 23 Tahun 2014 tentang </w:t>
      </w:r>
      <w:r>
        <w:rPr>
          <w:i/>
          <w:lang w:val="en-US"/>
        </w:rPr>
        <w:t>Pemerintahan Daerah</w:t>
      </w:r>
      <w:r>
        <w:rPr>
          <w:lang w:val="en-US"/>
        </w:rPr>
        <w:t xml:space="preserve"> dikatakan bahwa Peraturan Daerah yang selanjutnya disebut Perda atau yang disebut dengan nama lain adalah Perda Provinsi dan Perda Kabupaten/Kota. Selanjutnya di dalam Pasal 236 ayat (1) UU. No. 23 Tahun 2014 dikatakan bahwa untuk menyelenggarakan otonomi daerah dan tugas pembantuan, Daerah membentuk Perda.</w:t>
      </w:r>
    </w:p>
  </w:footnote>
  <w:footnote w:id="2">
    <w:p>
      <w:pPr>
        <w:pStyle w:val="4"/>
        <w:ind w:firstLine="720"/>
        <w:jc w:val="both"/>
        <w:rPr>
          <w:lang w:val="en-US"/>
        </w:rPr>
      </w:pPr>
      <w:r>
        <w:rPr>
          <w:rStyle w:val="6"/>
        </w:rPr>
        <w:footnoteRef/>
      </w:r>
      <w:r>
        <w:rPr>
          <w:lang w:val="en-US"/>
        </w:rPr>
        <w:t xml:space="preserve">Dalam Pasal 1 angka 26 Undang-Undang Nomor 23 Tahun 2014 tentang </w:t>
      </w:r>
      <w:r>
        <w:rPr>
          <w:i/>
          <w:lang w:val="en-US"/>
        </w:rPr>
        <w:t xml:space="preserve">Pemerintahan Daerah </w:t>
      </w:r>
      <w:r>
        <w:rPr>
          <w:lang w:val="en-US"/>
        </w:rPr>
        <w:t>dikatakan Peraturan Kepala Daerah yang selanjutnya disebut Perkada adalah peraturan gubernur dan peraturan bupati/walikota. Sesuai Pasal 246 ayat (1) Perkada dibentuk untuk melaksanakan Perda.</w:t>
      </w:r>
      <w:r>
        <w:t xml:space="preserve"> </w:t>
      </w:r>
    </w:p>
  </w:footnote>
  <w:footnote w:id="3">
    <w:p>
      <w:pPr>
        <w:pStyle w:val="4"/>
        <w:ind w:firstLine="720"/>
        <w:jc w:val="both"/>
        <w:rPr>
          <w:i/>
          <w:lang w:val="en-US"/>
        </w:rPr>
      </w:pPr>
      <w:r>
        <w:rPr>
          <w:rStyle w:val="6"/>
          <w:rFonts w:eastAsia="Calibri"/>
        </w:rPr>
        <w:footnoteRef/>
      </w:r>
      <w:r>
        <w:t xml:space="preserve">Ni’matul Huda, </w:t>
      </w:r>
      <w:r>
        <w:rPr>
          <w:i/>
        </w:rPr>
        <w:t>Perkembangan Hukum Tata Negara Perdebata</w:t>
      </w:r>
      <w:r>
        <w:rPr>
          <w:i/>
          <w:lang w:val="en-US"/>
        </w:rPr>
        <w:t>n</w:t>
      </w:r>
      <w:r>
        <w:rPr>
          <w:i/>
        </w:rPr>
        <w:t xml:space="preserve"> &amp; Gagasan Penyempurnaan </w:t>
      </w:r>
      <w:r>
        <w:t>(Yogyakarta: FH. UII Press, 2014), hlm. 270.</w:t>
      </w:r>
    </w:p>
  </w:footnote>
  <w:footnote w:id="4">
    <w:p>
      <w:pPr>
        <w:pStyle w:val="4"/>
        <w:ind w:firstLine="720"/>
        <w:jc w:val="both"/>
      </w:pPr>
      <w:r>
        <w:rPr>
          <w:rStyle w:val="6"/>
          <w:rFonts w:eastAsia="Calibri"/>
        </w:rPr>
        <w:footnoteRef/>
      </w:r>
      <w:r>
        <w:t>Pasal 7 ayat (1) U</w:t>
      </w:r>
      <w:r>
        <w:rPr>
          <w:lang w:val="en-US"/>
        </w:rPr>
        <w:t xml:space="preserve">ndang-Undang Nomor 12 Tahun 2011 tentang </w:t>
      </w:r>
      <w:r>
        <w:rPr>
          <w:i/>
          <w:lang w:val="en-US"/>
        </w:rPr>
        <w:t xml:space="preserve">Pembentukan Peraturan Perundang-Undangan </w:t>
      </w:r>
      <w:r>
        <w:t xml:space="preserve">menempatkan bahwa UUD 1945 sebagai hukum tertinggi di Indonesia. Sebagai hukum tertinggi, peraturan di bawahnya tidak boleh bertentangan dengannya dan/atau merupakan pelaksanaan dari padanya. Karena itu, materi muatan Perda tidak boleh bertentangan dengan UUD 1945. Lihat Marojahan JS Panjaitan, </w:t>
      </w:r>
      <w:r>
        <w:rPr>
          <w:i/>
        </w:rPr>
        <w:t xml:space="preserve">Pembentukan &amp; Perubahan Undang-Undang Berdasarkan UUD 1945 </w:t>
      </w:r>
      <w:r>
        <w:t>(Bandung: Pustaka Reka Cipta, 2017), hlm. 116.</w:t>
      </w:r>
    </w:p>
  </w:footnote>
  <w:footnote w:id="5">
    <w:p>
      <w:pPr>
        <w:pStyle w:val="4"/>
        <w:ind w:firstLine="720"/>
        <w:jc w:val="both"/>
        <w:rPr>
          <w:lang w:val="en-US"/>
        </w:rPr>
      </w:pPr>
      <w:r>
        <w:rPr>
          <w:rStyle w:val="6"/>
        </w:rPr>
        <w:footnoteRef/>
      </w:r>
      <w:r>
        <w:rPr>
          <w:lang w:val="en-US"/>
        </w:rPr>
        <w:t xml:space="preserve">Pasal 251 Undang-Undang Nomor 23 Tahun 2014 tentang </w:t>
      </w:r>
      <w:r>
        <w:rPr>
          <w:i/>
          <w:lang w:val="en-US"/>
        </w:rPr>
        <w:t>Pemerintahan Daerah</w:t>
      </w:r>
      <w:r>
        <w:rPr>
          <w:lang w:val="en-US"/>
        </w:rPr>
        <w:t>.</w:t>
      </w:r>
      <w:r>
        <w:t xml:space="preserve"> </w:t>
      </w:r>
    </w:p>
  </w:footnote>
  <w:footnote w:id="6">
    <w:p>
      <w:pPr>
        <w:pStyle w:val="4"/>
        <w:ind w:firstLine="720"/>
        <w:jc w:val="both"/>
        <w:rPr>
          <w:lang w:val="en-US"/>
        </w:rPr>
      </w:pPr>
      <w:r>
        <w:rPr>
          <w:rStyle w:val="6"/>
          <w:rFonts w:eastAsia="Calibri"/>
        </w:rPr>
        <w:footnoteRef/>
      </w:r>
      <w:r>
        <w:rPr>
          <w:lang w:val="en-US"/>
        </w:rPr>
        <w:t xml:space="preserve">Marojahan JS Panjaitan, </w:t>
      </w:r>
      <w:r>
        <w:rPr>
          <w:i/>
          <w:lang w:val="en-US"/>
        </w:rPr>
        <w:t>Membangun Badan Peradilan yang Beradab, Berbudaya, dan Berkeadilan Menurut Teori, Praktik dan UUD 1945</w:t>
      </w:r>
      <w:r>
        <w:t xml:space="preserve"> (Bandung: </w:t>
      </w:r>
      <w:r>
        <w:rPr>
          <w:lang w:val="en-US"/>
        </w:rPr>
        <w:t xml:space="preserve">Pustaka Reka Cipta, </w:t>
      </w:r>
      <w:r>
        <w:t>2018)</w:t>
      </w:r>
      <w:r>
        <w:rPr>
          <w:lang w:val="en-US"/>
        </w:rPr>
        <w:t>, hlm. 100.</w:t>
      </w:r>
    </w:p>
  </w:footnote>
  <w:footnote w:id="7">
    <w:p>
      <w:pPr>
        <w:pStyle w:val="4"/>
        <w:ind w:firstLine="720"/>
        <w:jc w:val="both"/>
      </w:pPr>
      <w:r>
        <w:rPr>
          <w:rStyle w:val="6"/>
          <w:rFonts w:eastAsia="Calibri"/>
        </w:rPr>
        <w:footnoteRef/>
      </w:r>
      <w:r>
        <w:t>Kamus Besar Bahasa Indonesia,</w:t>
      </w:r>
      <w:r>
        <w:rPr>
          <w:lang w:val="en-US"/>
        </w:rPr>
        <w:t xml:space="preserve"> (Jakarta : Departemen Pendidikan Nasional Balai Pustaka, 2005),</w:t>
      </w:r>
      <w:r>
        <w:t xml:space="preserve">  hlm. 1272.</w:t>
      </w:r>
    </w:p>
  </w:footnote>
  <w:footnote w:id="8">
    <w:p>
      <w:pPr>
        <w:pStyle w:val="4"/>
        <w:ind w:firstLine="720"/>
        <w:jc w:val="both"/>
      </w:pPr>
      <w:r>
        <w:rPr>
          <w:rStyle w:val="6"/>
          <w:rFonts w:eastAsia="Calibri"/>
        </w:rPr>
        <w:footnoteRef/>
      </w:r>
      <w:r>
        <w:t xml:space="preserve">Henry Campbell Black, </w:t>
      </w:r>
      <w:r>
        <w:rPr>
          <w:i/>
        </w:rPr>
        <w:t>Black’s Law Dictionary</w:t>
      </w:r>
      <w:r>
        <w:t xml:space="preserve"> </w:t>
      </w:r>
      <w:r>
        <w:rPr>
          <w:lang w:val="en-US"/>
        </w:rPr>
        <w:t>(</w:t>
      </w:r>
      <w:r>
        <w:t>West Publishing, 1990</w:t>
      </w:r>
      <w:r>
        <w:rPr>
          <w:lang w:val="en-US"/>
        </w:rPr>
        <w:t>)</w:t>
      </w:r>
      <w:r>
        <w:t>, p. 133.</w:t>
      </w:r>
    </w:p>
  </w:footnote>
  <w:footnote w:id="9">
    <w:p>
      <w:pPr>
        <w:pStyle w:val="4"/>
        <w:ind w:firstLine="720"/>
        <w:jc w:val="both"/>
        <w:rPr>
          <w:lang w:val="en-US"/>
        </w:rPr>
      </w:pPr>
      <w:r>
        <w:rPr>
          <w:rStyle w:val="6"/>
          <w:rFonts w:eastAsia="Calibri"/>
        </w:rPr>
        <w:footnoteRef/>
      </w:r>
      <w:r>
        <w:rPr>
          <w:lang w:val="en-US"/>
        </w:rPr>
        <w:t xml:space="preserve">Stout,H.D., </w:t>
      </w:r>
      <w:r>
        <w:rPr>
          <w:i/>
          <w:lang w:val="en-US"/>
        </w:rPr>
        <w:t>De Betekenissen van de wet</w:t>
      </w:r>
      <w:r>
        <w:rPr>
          <w:lang w:val="en-US"/>
        </w:rPr>
        <w:t xml:space="preserve"> (Zwolle: W.E.J. Tjeenk Willink, 1994), p. 102.</w:t>
      </w:r>
    </w:p>
  </w:footnote>
  <w:footnote w:id="10">
    <w:p>
      <w:pPr>
        <w:pStyle w:val="4"/>
        <w:ind w:firstLine="720"/>
        <w:jc w:val="both"/>
        <w:rPr>
          <w:lang w:val="en-US"/>
        </w:rPr>
      </w:pPr>
      <w:r>
        <w:rPr>
          <w:rStyle w:val="6"/>
          <w:rFonts w:eastAsia="Calibri"/>
        </w:rPr>
        <w:footnoteRef/>
      </w:r>
      <w:r>
        <w:rPr>
          <w:lang w:val="en-US"/>
        </w:rPr>
        <w:t xml:space="preserve">Nicolai, P. &amp; Oliver,B.K., </w:t>
      </w:r>
      <w:r>
        <w:rPr>
          <w:i/>
          <w:lang w:val="en-US"/>
        </w:rPr>
        <w:t>Bestuursrecht</w:t>
      </w:r>
      <w:r>
        <w:rPr>
          <w:lang w:val="en-US"/>
        </w:rPr>
        <w:t xml:space="preserve"> (Amesterdam, 1994), p. 4.</w:t>
      </w:r>
    </w:p>
  </w:footnote>
  <w:footnote w:id="11">
    <w:p>
      <w:pPr>
        <w:pStyle w:val="4"/>
        <w:ind w:firstLine="720"/>
        <w:jc w:val="both"/>
        <w:rPr>
          <w:lang w:val="en-US"/>
        </w:rPr>
      </w:pPr>
      <w:r>
        <w:rPr>
          <w:rStyle w:val="6"/>
          <w:rFonts w:eastAsia="Calibri"/>
        </w:rPr>
        <w:footnoteRef/>
      </w:r>
      <w:r>
        <w:rPr>
          <w:lang w:val="en-US"/>
        </w:rPr>
        <w:t xml:space="preserve">Bagir Manan, </w:t>
      </w:r>
      <w:r>
        <w:rPr>
          <w:i/>
          <w:lang w:val="en-US"/>
        </w:rPr>
        <w:t>Wewenang Propinsi, Kabupaten dan Kota dalam Rangka Otonomi Daerah</w:t>
      </w:r>
      <w:r>
        <w:rPr>
          <w:lang w:val="en-US"/>
        </w:rPr>
        <w:t>, Makalah pada Seminar Nasional Pengembangan Wilayah dan Pengelolaan Sumber Daya Alam di Kawasan Pesisir dalam Rangka Penataan Ruang, Fakultas Hukum Universitas Padjadjaran, (Bandung: UNPAD, 2000), hlm. 1-2.</w:t>
      </w:r>
      <w:r>
        <w:t xml:space="preserve"> Lihat pula Marojahan JS Panjaitan, </w:t>
      </w:r>
      <w:r>
        <w:rPr>
          <w:i/>
          <w:lang w:val="en-US"/>
        </w:rPr>
        <w:t>o</w:t>
      </w:r>
      <w:r>
        <w:rPr>
          <w:i/>
        </w:rPr>
        <w:t>p.</w:t>
      </w:r>
      <w:r>
        <w:rPr>
          <w:i/>
          <w:lang w:val="en-US"/>
        </w:rPr>
        <w:t>c</w:t>
      </w:r>
      <w:r>
        <w:rPr>
          <w:i/>
        </w:rPr>
        <w:t>it</w:t>
      </w:r>
      <w:r>
        <w:t>., hlm. 99</w:t>
      </w:r>
    </w:p>
  </w:footnote>
  <w:footnote w:id="12">
    <w:p>
      <w:pPr>
        <w:pStyle w:val="4"/>
        <w:ind w:firstLine="720"/>
        <w:jc w:val="both"/>
        <w:rPr>
          <w:lang w:val="en-US"/>
        </w:rPr>
      </w:pPr>
      <w:r>
        <w:rPr>
          <w:rStyle w:val="6"/>
          <w:rFonts w:eastAsia="Calibri"/>
        </w:rPr>
        <w:footnoteRef/>
      </w:r>
      <w:r>
        <w:rPr>
          <w:lang w:val="en-US"/>
        </w:rPr>
        <w:t xml:space="preserve">Irfan Fachruddin, </w:t>
      </w:r>
      <w:r>
        <w:rPr>
          <w:i/>
        </w:rPr>
        <w:t xml:space="preserve">Pengawasan Peradilan Administrasi Terhadap Tindakan Pemerintah </w:t>
      </w:r>
      <w:r>
        <w:t>(Bandung: Alumni, 2004)</w:t>
      </w:r>
      <w:r>
        <w:rPr>
          <w:lang w:val="en-US"/>
        </w:rPr>
        <w:t>, hlm.40.</w:t>
      </w:r>
    </w:p>
  </w:footnote>
  <w:footnote w:id="13">
    <w:p>
      <w:pPr>
        <w:pStyle w:val="4"/>
        <w:ind w:firstLine="720"/>
        <w:jc w:val="both"/>
      </w:pPr>
      <w:r>
        <w:rPr>
          <w:rStyle w:val="6"/>
        </w:rPr>
        <w:footnoteRef/>
      </w:r>
      <w:r>
        <w:rPr>
          <w:i/>
          <w:lang w:val="en-US"/>
        </w:rPr>
        <w:t>Ibid.</w:t>
      </w:r>
      <w:r>
        <w:t>, hlm. 88.</w:t>
      </w:r>
    </w:p>
  </w:footnote>
  <w:footnote w:id="14">
    <w:p>
      <w:pPr>
        <w:pStyle w:val="4"/>
        <w:ind w:firstLine="720"/>
      </w:pPr>
      <w:r>
        <w:rPr>
          <w:rStyle w:val="6"/>
        </w:rPr>
        <w:footnoteRef/>
      </w:r>
      <w:r>
        <w:rPr>
          <w:i/>
        </w:rPr>
        <w:t>Ibid</w:t>
      </w:r>
      <w:r>
        <w:rPr>
          <w:i/>
          <w:lang w:val="en-US"/>
        </w:rPr>
        <w:t>.</w:t>
      </w:r>
      <w:r>
        <w:t>, hlm.92.</w:t>
      </w:r>
    </w:p>
  </w:footnote>
  <w:footnote w:id="15">
    <w:p>
      <w:pPr>
        <w:pStyle w:val="4"/>
        <w:ind w:firstLine="720"/>
        <w:jc w:val="both"/>
        <w:rPr>
          <w:lang w:val="en-US"/>
        </w:rPr>
      </w:pPr>
      <w:r>
        <w:rPr>
          <w:rStyle w:val="6"/>
        </w:rPr>
        <w:footnoteRef/>
      </w:r>
      <w:r>
        <w:rPr>
          <w:lang w:val="en-US"/>
        </w:rPr>
        <w:t xml:space="preserve">S.F. Marbun, </w:t>
      </w:r>
      <w:r>
        <w:rPr>
          <w:i/>
          <w:lang w:val="en-US"/>
        </w:rPr>
        <w:t>Peradilan Administrasi Negara dan Upaya Administratif di Indonesia</w:t>
      </w:r>
      <w:r>
        <w:rPr>
          <w:lang w:val="en-US"/>
        </w:rPr>
        <w:t xml:space="preserve"> (Yogyakarta, Liberty, 1997), hlm. 154.</w:t>
      </w:r>
      <w:r>
        <w:t xml:space="preserve"> </w:t>
      </w:r>
    </w:p>
  </w:footnote>
  <w:footnote w:id="16">
    <w:p>
      <w:pPr>
        <w:pStyle w:val="4"/>
        <w:ind w:firstLine="720"/>
        <w:jc w:val="both"/>
        <w:rPr>
          <w:lang w:val="en-US"/>
        </w:rPr>
      </w:pPr>
      <w:r>
        <w:rPr>
          <w:rStyle w:val="6"/>
        </w:rPr>
        <w:footnoteRef/>
      </w:r>
      <w:r>
        <w:rPr>
          <w:lang w:val="en-US"/>
        </w:rPr>
        <w:t xml:space="preserve">Prajudi Atmosudirjdo, </w:t>
      </w:r>
      <w:r>
        <w:rPr>
          <w:i/>
          <w:lang w:val="en-US"/>
        </w:rPr>
        <w:t>Hukum Administrasi Negara</w:t>
      </w:r>
      <w:r>
        <w:rPr>
          <w:lang w:val="en-US"/>
        </w:rPr>
        <w:t xml:space="preserve"> (Jakarta: Ghalia Indonesia, 1981), hlm. 29-30.</w:t>
      </w:r>
      <w:r>
        <w:t xml:space="preserve"> </w:t>
      </w:r>
    </w:p>
  </w:footnote>
  <w:footnote w:id="17">
    <w:p>
      <w:pPr>
        <w:pStyle w:val="4"/>
        <w:ind w:firstLine="720"/>
        <w:jc w:val="both"/>
        <w:rPr>
          <w:lang w:val="en-US"/>
        </w:rPr>
      </w:pPr>
      <w:r>
        <w:rPr>
          <w:rStyle w:val="6"/>
        </w:rPr>
        <w:footnoteRef/>
      </w:r>
      <w:r>
        <w:rPr>
          <w:lang w:val="en-US"/>
        </w:rPr>
        <w:t xml:space="preserve">S.F. Marbun, </w:t>
      </w:r>
      <w:r>
        <w:rPr>
          <w:i/>
          <w:lang w:val="en-US"/>
        </w:rPr>
        <w:t>op.cit</w:t>
      </w:r>
      <w:r>
        <w:rPr>
          <w:lang w:val="en-US"/>
        </w:rPr>
        <w:t>., hlm. 154.</w:t>
      </w:r>
      <w:r>
        <w:t xml:space="preserve"> </w:t>
      </w:r>
    </w:p>
  </w:footnote>
  <w:footnote w:id="18">
    <w:p>
      <w:pPr>
        <w:pStyle w:val="4"/>
        <w:ind w:firstLine="720"/>
        <w:jc w:val="both"/>
        <w:rPr>
          <w:lang w:val="en-US"/>
        </w:rPr>
      </w:pPr>
      <w:r>
        <w:rPr>
          <w:rStyle w:val="6"/>
        </w:rPr>
        <w:footnoteRef/>
      </w:r>
      <w:r>
        <w:rPr>
          <w:lang w:val="en-US"/>
        </w:rPr>
        <w:t>Philipus M. Hadjon, Tentang Wewenang</w:t>
      </w:r>
      <w:r>
        <w:rPr>
          <w:i/>
          <w:lang w:val="en-US"/>
        </w:rPr>
        <w:t>, Jurnal Yuridika, No. 5 &amp; 6 Tahun XII (Sep – Des 1997</w:t>
      </w:r>
      <w:r>
        <w:rPr>
          <w:lang w:val="en-US"/>
        </w:rPr>
        <w:t xml:space="preserve">), hlm. 1. Lihat pula Abdul Latif, </w:t>
      </w:r>
      <w:r>
        <w:rPr>
          <w:i/>
          <w:lang w:val="en-US"/>
        </w:rPr>
        <w:t>Hukum Administrasi Dalam Praktik Tindak Pidana Korupsi</w:t>
      </w:r>
      <w:r>
        <w:rPr>
          <w:lang w:val="en-US"/>
        </w:rPr>
        <w:t xml:space="preserve"> (Jakarta : Prenada Media Group, 2014), hlm. 7.</w:t>
      </w:r>
      <w:r>
        <w:t xml:space="preserve"> </w:t>
      </w:r>
    </w:p>
  </w:footnote>
  <w:footnote w:id="19">
    <w:p>
      <w:pPr>
        <w:pStyle w:val="4"/>
        <w:ind w:firstLine="720"/>
        <w:jc w:val="both"/>
        <w:rPr>
          <w:lang w:val="en-US"/>
        </w:rPr>
      </w:pPr>
      <w:r>
        <w:rPr>
          <w:rStyle w:val="6"/>
        </w:rPr>
        <w:footnoteRef/>
      </w:r>
      <w:r>
        <w:rPr>
          <w:lang w:val="en-US"/>
        </w:rPr>
        <w:t xml:space="preserve">Pasal 1 angka 2 Undang-Undang Nomor 24 Tahun 2011 tentang </w:t>
      </w:r>
      <w:r>
        <w:rPr>
          <w:i/>
          <w:lang w:val="en-US"/>
        </w:rPr>
        <w:t>Badan Penyelenggara Jaminan Sosial</w:t>
      </w:r>
      <w:r>
        <w:rPr>
          <w:lang w:val="en-US"/>
        </w:rPr>
        <w:t>.</w:t>
      </w:r>
    </w:p>
  </w:footnote>
  <w:footnote w:id="20">
    <w:p>
      <w:pPr>
        <w:pStyle w:val="4"/>
        <w:ind w:firstLine="720"/>
        <w:jc w:val="both"/>
        <w:rPr>
          <w:i/>
          <w:lang w:val="en-US"/>
        </w:rPr>
      </w:pPr>
      <w:r>
        <w:rPr>
          <w:rStyle w:val="6"/>
        </w:rPr>
        <w:footnoteRef/>
      </w:r>
      <w:r>
        <w:rPr>
          <w:lang w:val="en-US"/>
        </w:rPr>
        <w:t xml:space="preserve">Pasal 3 Undang-Undang Nomor 24 Tahun 2011 tentang </w:t>
      </w:r>
      <w:r>
        <w:rPr>
          <w:i/>
          <w:lang w:val="en-US"/>
        </w:rPr>
        <w:t>Badan Penyelenggara Jaminan Sosial.</w:t>
      </w:r>
    </w:p>
  </w:footnote>
  <w:footnote w:id="21">
    <w:p>
      <w:pPr>
        <w:pStyle w:val="4"/>
        <w:ind w:firstLine="720"/>
        <w:jc w:val="both"/>
        <w:rPr>
          <w:lang w:val="en-US"/>
        </w:rPr>
      </w:pPr>
      <w:r>
        <w:rPr>
          <w:rStyle w:val="6"/>
          <w:rFonts w:eastAsia="Calibri"/>
        </w:rPr>
        <w:footnoteRef/>
      </w:r>
      <w:r>
        <w:rPr>
          <w:lang w:val="en-US"/>
        </w:rPr>
        <w:t xml:space="preserve">Sjachran Basah, </w:t>
      </w:r>
      <w:r>
        <w:rPr>
          <w:i/>
          <w:lang w:val="en-US"/>
        </w:rPr>
        <w:t>Perlindungan Hukum Terhadap Sikap-Tindak Administrasi Negara</w:t>
      </w:r>
      <w:r>
        <w:t xml:space="preserve"> (Bandung: </w:t>
      </w:r>
      <w:r>
        <w:rPr>
          <w:lang w:val="en-US"/>
        </w:rPr>
        <w:t>Alumni, 1986</w:t>
      </w:r>
      <w:r>
        <w:t xml:space="preserve">), </w:t>
      </w:r>
      <w:r>
        <w:rPr>
          <w:lang w:val="en-US"/>
        </w:rPr>
        <w:t>hlm. 2.</w:t>
      </w:r>
    </w:p>
  </w:footnote>
  <w:footnote w:id="22">
    <w:p>
      <w:pPr>
        <w:pStyle w:val="4"/>
        <w:ind w:firstLine="720"/>
        <w:rPr>
          <w:lang w:val="en-US"/>
        </w:rPr>
      </w:pPr>
      <w:r>
        <w:rPr>
          <w:rStyle w:val="6"/>
        </w:rPr>
        <w:footnoteRef/>
      </w:r>
      <w:r>
        <w:rPr>
          <w:i/>
          <w:lang w:val="en-US"/>
        </w:rPr>
        <w:t>Ibid.</w:t>
      </w:r>
    </w:p>
  </w:footnote>
  <w:footnote w:id="23">
    <w:p>
      <w:pPr>
        <w:pStyle w:val="4"/>
        <w:ind w:firstLine="720"/>
        <w:jc w:val="both"/>
        <w:rPr>
          <w:lang w:val="en-US"/>
        </w:rPr>
      </w:pPr>
      <w:r>
        <w:rPr>
          <w:rStyle w:val="6"/>
        </w:rPr>
        <w:footnoteRef/>
      </w:r>
      <w:r>
        <w:rPr>
          <w:lang w:val="en-US"/>
        </w:rPr>
        <w:t xml:space="preserve">Usep Ranawijaya, </w:t>
      </w:r>
      <w:r>
        <w:rPr>
          <w:i/>
          <w:lang w:val="en-US"/>
        </w:rPr>
        <w:t>Hukum Tata Negara Indonesia Dasar-dasarnya</w:t>
      </w:r>
      <w:r>
        <w:rPr>
          <w:lang w:val="en-US"/>
        </w:rPr>
        <w:t xml:space="preserve"> (Jakarta: Ghalia Indonesia, 1983), hlm. 183.</w:t>
      </w:r>
      <w:r>
        <w:t xml:space="preserve"> </w:t>
      </w:r>
    </w:p>
  </w:footnote>
  <w:footnote w:id="24">
    <w:p>
      <w:pPr>
        <w:pStyle w:val="4"/>
        <w:ind w:firstLine="720"/>
        <w:jc w:val="both"/>
        <w:rPr>
          <w:lang w:val="en-US"/>
        </w:rPr>
      </w:pPr>
      <w:r>
        <w:rPr>
          <w:rStyle w:val="6"/>
        </w:rPr>
        <w:footnoteRef/>
      </w:r>
      <w:r>
        <w:rPr>
          <w:i/>
          <w:lang w:val="en-US"/>
        </w:rPr>
        <w:t>I</w:t>
      </w:r>
      <w:r>
        <w:rPr>
          <w:i/>
        </w:rPr>
        <w:t>bid</w:t>
      </w:r>
      <w:r>
        <w:rPr>
          <w:lang w:val="en-US"/>
        </w:rPr>
        <w:t>.</w:t>
      </w:r>
    </w:p>
  </w:footnote>
  <w:footnote w:id="25">
    <w:p>
      <w:pPr>
        <w:pStyle w:val="4"/>
        <w:ind w:firstLine="720"/>
        <w:jc w:val="both"/>
        <w:rPr>
          <w:lang w:val="en-US"/>
        </w:rPr>
      </w:pPr>
      <w:r>
        <w:rPr>
          <w:rStyle w:val="6"/>
          <w:rFonts w:eastAsia="Calibri"/>
        </w:rPr>
        <w:footnoteRef/>
      </w:r>
      <w:r>
        <w:rPr>
          <w:lang w:val="en-US"/>
        </w:rPr>
        <w:t xml:space="preserve">Irfan Fachruddin, </w:t>
      </w:r>
      <w:r>
        <w:rPr>
          <w:i/>
          <w:lang w:val="en-US"/>
        </w:rPr>
        <w:t>op.cit</w:t>
      </w:r>
      <w:r>
        <w:rPr>
          <w:lang w:val="en-US"/>
        </w:rPr>
        <w:t>. hlm. 43.</w:t>
      </w:r>
    </w:p>
  </w:footnote>
  <w:footnote w:id="26">
    <w:p>
      <w:pPr>
        <w:pStyle w:val="4"/>
        <w:ind w:firstLine="720"/>
        <w:jc w:val="both"/>
      </w:pPr>
      <w:r>
        <w:rPr>
          <w:rStyle w:val="6"/>
          <w:rFonts w:eastAsia="Calibri"/>
        </w:rPr>
        <w:footnoteRef/>
      </w:r>
      <w:r>
        <w:t xml:space="preserve">Wijk, H.D.van, </w:t>
      </w:r>
      <w:r>
        <w:rPr>
          <w:i/>
        </w:rPr>
        <w:t>Hoofdstukken van administratief recht</w:t>
      </w:r>
      <w:r>
        <w:rPr>
          <w:lang w:val="en-US"/>
        </w:rPr>
        <w:t xml:space="preserve"> (</w:t>
      </w:r>
      <w:r>
        <w:t>Vuga</w:t>
      </w:r>
      <w:r>
        <w:rPr>
          <w:lang w:val="en-US"/>
        </w:rPr>
        <w:t xml:space="preserve">: </w:t>
      </w:r>
      <w:r>
        <w:t>S-Gravenhage, 1984</w:t>
      </w:r>
      <w:r>
        <w:rPr>
          <w:lang w:val="en-US"/>
        </w:rPr>
        <w:t>)</w:t>
      </w:r>
      <w:r>
        <w:t xml:space="preserve">, </w:t>
      </w:r>
      <w:r>
        <w:rPr>
          <w:lang w:val="en-US"/>
        </w:rPr>
        <w:t>p</w:t>
      </w:r>
      <w:r>
        <w:t xml:space="preserve"> 34.</w:t>
      </w:r>
    </w:p>
  </w:footnote>
  <w:footnote w:id="27">
    <w:p>
      <w:pPr>
        <w:pStyle w:val="4"/>
        <w:ind w:firstLine="720"/>
        <w:jc w:val="both"/>
      </w:pPr>
      <w:r>
        <w:rPr>
          <w:rStyle w:val="6"/>
        </w:rPr>
        <w:footnoteRef/>
      </w:r>
      <w:r>
        <w:t xml:space="preserve">Sri Soemantri, </w:t>
      </w:r>
      <w:r>
        <w:rPr>
          <w:i/>
        </w:rPr>
        <w:t>Ketetapan</w:t>
      </w:r>
      <w:r>
        <w:rPr>
          <w:i/>
          <w:lang w:val="en-US"/>
        </w:rPr>
        <w:t xml:space="preserve"> MPR(S) Sebagai Salah Satu Sumber Hukum Tata Negara (</w:t>
      </w:r>
      <w:r>
        <w:rPr>
          <w:lang w:val="en-US"/>
        </w:rPr>
        <w:t>Bandung: Remaja Karya, 1985)</w:t>
      </w:r>
      <w:r>
        <w:rPr>
          <w:i/>
        </w:rPr>
        <w:t>,</w:t>
      </w:r>
      <w:r>
        <w:t xml:space="preserve"> hlm. 1. Sri Soemantri, </w:t>
      </w:r>
      <w:r>
        <w:rPr>
          <w:i/>
        </w:rPr>
        <w:t>Sistem-sistem Pemerintahan Negara-negara ASEAN</w:t>
      </w:r>
      <w:r>
        <w:t xml:space="preserve"> </w:t>
      </w:r>
      <w:r>
        <w:rPr>
          <w:lang w:val="en-US"/>
        </w:rPr>
        <w:t>(Bandung:</w:t>
      </w:r>
      <w:r>
        <w:t xml:space="preserve">Tarsito, </w:t>
      </w:r>
      <w:r>
        <w:rPr>
          <w:lang w:val="en-US"/>
        </w:rPr>
        <w:t>1</w:t>
      </w:r>
      <w:r>
        <w:t>976</w:t>
      </w:r>
      <w:r>
        <w:rPr>
          <w:lang w:val="en-US"/>
        </w:rPr>
        <w:t>)</w:t>
      </w:r>
      <w:r>
        <w:t>, hlm. 4.</w:t>
      </w:r>
    </w:p>
  </w:footnote>
  <w:footnote w:id="28">
    <w:p>
      <w:pPr>
        <w:pStyle w:val="4"/>
        <w:ind w:firstLine="720"/>
      </w:pPr>
      <w:r>
        <w:rPr>
          <w:rStyle w:val="6"/>
        </w:rPr>
        <w:footnoteRef/>
      </w:r>
      <w:r>
        <w:rPr>
          <w:i/>
        </w:rPr>
        <w:t>Loc.</w:t>
      </w:r>
      <w:r>
        <w:rPr>
          <w:i/>
          <w:lang w:val="en-US"/>
        </w:rPr>
        <w:t>c</w:t>
      </w:r>
      <w:r>
        <w:rPr>
          <w:i/>
        </w:rPr>
        <w:t>it.</w:t>
      </w:r>
    </w:p>
  </w:footnote>
  <w:footnote w:id="29">
    <w:p>
      <w:pPr>
        <w:pStyle w:val="4"/>
        <w:ind w:firstLine="720"/>
        <w:jc w:val="both"/>
      </w:pPr>
      <w:r>
        <w:rPr>
          <w:rStyle w:val="6"/>
        </w:rPr>
        <w:footnoteRef/>
      </w:r>
      <w:r>
        <w:t xml:space="preserve">Soerjono Soekanto, </w:t>
      </w:r>
      <w:r>
        <w:rPr>
          <w:i/>
        </w:rPr>
        <w:t>Pokok-Pokok Sosiologi Hukum</w:t>
      </w:r>
      <w:r>
        <w:rPr>
          <w:lang w:val="en-US"/>
        </w:rPr>
        <w:t xml:space="preserve"> (Jakarta: </w:t>
      </w:r>
      <w:r>
        <w:t>Rajawali Pers, 1988</w:t>
      </w:r>
      <w:r>
        <w:rPr>
          <w:lang w:val="en-US"/>
        </w:rPr>
        <w:t>)</w:t>
      </w:r>
      <w:r>
        <w:t>, hlm. 79-80.</w:t>
      </w:r>
    </w:p>
  </w:footnote>
  <w:footnote w:id="30">
    <w:p>
      <w:pPr>
        <w:pStyle w:val="4"/>
        <w:ind w:firstLine="720"/>
        <w:jc w:val="both"/>
      </w:pPr>
      <w:r>
        <w:rPr>
          <w:rStyle w:val="6"/>
        </w:rPr>
        <w:footnoteRef/>
      </w:r>
      <w:r>
        <w:t xml:space="preserve">Terpetik dari Miriam Budiardjo, </w:t>
      </w:r>
      <w:r>
        <w:rPr>
          <w:i/>
        </w:rPr>
        <w:t>Dasar-dasar Ilmu Politik</w:t>
      </w:r>
      <w:r>
        <w:t xml:space="preserve"> </w:t>
      </w:r>
      <w:r>
        <w:rPr>
          <w:lang w:val="en-US"/>
        </w:rPr>
        <w:t xml:space="preserve">(Jakarta: </w:t>
      </w:r>
      <w:r>
        <w:t>PT. Gramedia Pustaka Utama, 2004</w:t>
      </w:r>
      <w:r>
        <w:rPr>
          <w:lang w:val="en-US"/>
        </w:rPr>
        <w:t>)</w:t>
      </w:r>
      <w:r>
        <w:t>, hlm. 52.</w:t>
      </w:r>
    </w:p>
  </w:footnote>
  <w:footnote w:id="31">
    <w:p>
      <w:pPr>
        <w:pStyle w:val="4"/>
        <w:ind w:firstLine="720"/>
        <w:jc w:val="both"/>
      </w:pPr>
      <w:r>
        <w:rPr>
          <w:rStyle w:val="6"/>
        </w:rPr>
        <w:footnoteRef/>
      </w:r>
      <w:r>
        <w:t xml:space="preserve">Sri Soemantri, </w:t>
      </w:r>
      <w:r>
        <w:rPr>
          <w:i/>
        </w:rPr>
        <w:t>Undang-Undang Dasar dan Ketetapan Majelis Permusyawaratan Rakyat Sebagai Produk Majelis Permusyawaratan Rakyat</w:t>
      </w:r>
      <w:r>
        <w:t xml:space="preserve"> </w:t>
      </w:r>
      <w:r>
        <w:rPr>
          <w:lang w:val="en-US"/>
        </w:rPr>
        <w:t xml:space="preserve">(Bandung : </w:t>
      </w:r>
      <w:r>
        <w:t>Pidato Pengukuhan Guru Besar,</w:t>
      </w:r>
      <w:r>
        <w:rPr>
          <w:lang w:val="en-US"/>
        </w:rPr>
        <w:t xml:space="preserve"> </w:t>
      </w:r>
      <w:r>
        <w:t xml:space="preserve"> FH. UNPAD, 1987</w:t>
      </w:r>
      <w:r>
        <w:rPr>
          <w:lang w:val="en-US"/>
        </w:rPr>
        <w:t>)</w:t>
      </w:r>
      <w:r>
        <w:t>, hlm. 4</w:t>
      </w:r>
    </w:p>
  </w:footnote>
  <w:footnote w:id="32">
    <w:p>
      <w:pPr>
        <w:pStyle w:val="4"/>
        <w:ind w:firstLine="720"/>
        <w:jc w:val="both"/>
      </w:pPr>
      <w:r>
        <w:rPr>
          <w:rStyle w:val="6"/>
        </w:rPr>
        <w:footnoteRef/>
      </w:r>
      <w:r>
        <w:t xml:space="preserve">Carl .J.F. Friedrich, </w:t>
      </w:r>
      <w:r>
        <w:rPr>
          <w:i/>
        </w:rPr>
        <w:t>Constitutional Government and Democracy : Theory and Practice in Europe and America</w:t>
      </w:r>
      <w:r>
        <w:rPr>
          <w:lang w:val="en-US"/>
        </w:rPr>
        <w:t xml:space="preserve"> </w:t>
      </w:r>
      <w:r>
        <w:t>(5</w:t>
      </w:r>
      <w:r>
        <w:rPr>
          <w:vertAlign w:val="superscript"/>
        </w:rPr>
        <w:t>th</w:t>
      </w:r>
      <w:r>
        <w:t xml:space="preserve"> ed : Weltham, Mass : Blaidsdell Publishing Company, 1967</w:t>
      </w:r>
      <w:r>
        <w:rPr>
          <w:lang w:val="en-US"/>
        </w:rPr>
        <w:t>)</w:t>
      </w:r>
      <w:r>
        <w:t xml:space="preserve">, </w:t>
      </w:r>
      <w:r>
        <w:rPr>
          <w:lang w:val="en-US"/>
        </w:rPr>
        <w:t>pp</w:t>
      </w:r>
      <w:r>
        <w:t xml:space="preserve"> VII.</w:t>
      </w:r>
    </w:p>
  </w:footnote>
  <w:footnote w:id="33">
    <w:p>
      <w:pPr>
        <w:pStyle w:val="4"/>
        <w:ind w:firstLine="720"/>
        <w:jc w:val="both"/>
      </w:pPr>
      <w:r>
        <w:rPr>
          <w:rStyle w:val="6"/>
        </w:rPr>
        <w:footnoteRef/>
      </w:r>
      <w:r>
        <w:t xml:space="preserve">Wade and Phillips, </w:t>
      </w:r>
      <w:r>
        <w:rPr>
          <w:i/>
        </w:rPr>
        <w:t>Constitutional Law</w:t>
      </w:r>
      <w:r>
        <w:rPr>
          <w:lang w:val="en-US"/>
        </w:rPr>
        <w:t xml:space="preserve"> (</w:t>
      </w:r>
      <w:r>
        <w:t>London : Longmans, 1965</w:t>
      </w:r>
      <w:r>
        <w:rPr>
          <w:lang w:val="en-US"/>
        </w:rPr>
        <w:t>)</w:t>
      </w:r>
      <w:r>
        <w:t xml:space="preserve">, </w:t>
      </w:r>
      <w:r>
        <w:rPr>
          <w:lang w:val="en-US"/>
        </w:rPr>
        <w:t>p</w:t>
      </w:r>
      <w:r>
        <w:t>. 1.</w:t>
      </w:r>
    </w:p>
  </w:footnote>
  <w:footnote w:id="34">
    <w:p>
      <w:pPr>
        <w:pStyle w:val="4"/>
        <w:ind w:firstLine="720"/>
        <w:jc w:val="both"/>
      </w:pPr>
      <w:r>
        <w:rPr>
          <w:rStyle w:val="6"/>
        </w:rPr>
        <w:footnoteRef/>
      </w:r>
      <w:r>
        <w:t xml:space="preserve">Bagir Manan, </w:t>
      </w:r>
      <w:r>
        <w:rPr>
          <w:i/>
        </w:rPr>
        <w:t>Pertumbuhan dan Perkembangan Konstitusi Suatu Negara</w:t>
      </w:r>
      <w:r>
        <w:rPr>
          <w:lang w:val="en-US"/>
        </w:rPr>
        <w:t xml:space="preserve"> (Bandung: </w:t>
      </w:r>
      <w:r>
        <w:t>Mandar Maju,1995</w:t>
      </w:r>
      <w:r>
        <w:rPr>
          <w:lang w:val="en-US"/>
        </w:rPr>
        <w:t>)</w:t>
      </w:r>
      <w:r>
        <w:t>, hlm. 6.</w:t>
      </w:r>
    </w:p>
  </w:footnote>
  <w:footnote w:id="35">
    <w:p>
      <w:pPr>
        <w:pStyle w:val="4"/>
        <w:ind w:firstLine="720"/>
      </w:pPr>
      <w:r>
        <w:rPr>
          <w:rStyle w:val="6"/>
        </w:rPr>
        <w:footnoteRef/>
      </w:r>
      <w:r>
        <w:t xml:space="preserve">Miriam Budiardjo, </w:t>
      </w:r>
      <w:r>
        <w:rPr>
          <w:i/>
          <w:lang w:val="en-US"/>
        </w:rPr>
        <w:t>o</w:t>
      </w:r>
      <w:r>
        <w:rPr>
          <w:i/>
        </w:rPr>
        <w:t xml:space="preserve">p. </w:t>
      </w:r>
      <w:r>
        <w:rPr>
          <w:i/>
          <w:lang w:val="en-US"/>
        </w:rPr>
        <w:t>c</w:t>
      </w:r>
      <w:r>
        <w:rPr>
          <w:i/>
        </w:rPr>
        <w:t>it</w:t>
      </w:r>
      <w:r>
        <w:t>, hlm. 57.</w:t>
      </w:r>
    </w:p>
  </w:footnote>
  <w:footnote w:id="36">
    <w:p>
      <w:pPr>
        <w:pStyle w:val="4"/>
        <w:ind w:firstLine="720"/>
        <w:jc w:val="both"/>
      </w:pPr>
      <w:r>
        <w:rPr>
          <w:rStyle w:val="6"/>
        </w:rPr>
        <w:footnoteRef/>
      </w:r>
      <w:r>
        <w:t xml:space="preserve">Bernard Arief Sidharta, </w:t>
      </w:r>
      <w:r>
        <w:rPr>
          <w:i/>
        </w:rPr>
        <w:t>Ilmu Hukum Indonesia Upaya Pengembangan Ilmu Hukum Sistematik Yang Responsif Terhadap Perubahan Masyarakat</w:t>
      </w:r>
      <w:r>
        <w:t xml:space="preserve"> </w:t>
      </w:r>
      <w:r>
        <w:rPr>
          <w:lang w:val="en-US"/>
        </w:rPr>
        <w:t xml:space="preserve">(Yogyakarta: </w:t>
      </w:r>
      <w:r>
        <w:t>Genta Publishing, 2013</w:t>
      </w:r>
      <w:r>
        <w:rPr>
          <w:lang w:val="en-US"/>
        </w:rPr>
        <w:t>)</w:t>
      </w:r>
      <w:r>
        <w:t>, hlm. 105.</w:t>
      </w:r>
    </w:p>
    <w:p>
      <w:pPr>
        <w:pStyle w:val="4"/>
        <w:ind w:firstLine="720"/>
        <w:rPr>
          <w:lang w:val="en-US"/>
        </w:rPr>
      </w:pPr>
      <w:r>
        <w:t xml:space="preserve"> </w:t>
      </w:r>
    </w:p>
  </w:footnote>
  <w:footnote w:id="37">
    <w:p>
      <w:pPr>
        <w:pStyle w:val="4"/>
        <w:ind w:firstLine="720"/>
        <w:rPr>
          <w:lang w:val="en-US"/>
        </w:rPr>
      </w:pPr>
      <w:r>
        <w:rPr>
          <w:rStyle w:val="6"/>
        </w:rPr>
        <w:footnoteRef/>
      </w:r>
      <w:r>
        <w:rPr>
          <w:i/>
          <w:lang w:val="en-US"/>
        </w:rPr>
        <w:t>Ibid</w:t>
      </w:r>
      <w:r>
        <w:rPr>
          <w:lang w:val="en-US"/>
        </w:rPr>
        <w:t>., hlm. 105.</w:t>
      </w:r>
    </w:p>
  </w:footnote>
  <w:footnote w:id="38">
    <w:p>
      <w:pPr>
        <w:pStyle w:val="4"/>
        <w:ind w:firstLine="720"/>
        <w:rPr>
          <w:lang w:val="en-US"/>
        </w:rPr>
      </w:pPr>
      <w:r>
        <w:rPr>
          <w:rStyle w:val="6"/>
        </w:rPr>
        <w:footnoteRef/>
      </w:r>
      <w:r>
        <w:rPr>
          <w:i/>
          <w:lang w:val="en-US"/>
        </w:rPr>
        <w:t>Ibid</w:t>
      </w:r>
      <w:r>
        <w:rPr>
          <w:lang w:val="en-US"/>
        </w:rPr>
        <w:t>., hlm. 104.</w:t>
      </w:r>
      <w:r>
        <w:t xml:space="preserve"> </w:t>
      </w:r>
    </w:p>
  </w:footnote>
  <w:footnote w:id="39">
    <w:p>
      <w:pPr>
        <w:pStyle w:val="4"/>
        <w:ind w:firstLine="720"/>
        <w:jc w:val="both"/>
        <w:rPr>
          <w:lang w:val="en-US"/>
        </w:rPr>
      </w:pPr>
      <w:r>
        <w:rPr>
          <w:rStyle w:val="6"/>
        </w:rPr>
        <w:footnoteRef/>
      </w:r>
      <w:r>
        <w:rPr>
          <w:lang w:val="en-US"/>
        </w:rPr>
        <w:t xml:space="preserve">Hans Kelsen, </w:t>
      </w:r>
      <w:r>
        <w:rPr>
          <w:i/>
          <w:lang w:val="en-US"/>
        </w:rPr>
        <w:t>General Theory of Law and State</w:t>
      </w:r>
      <w:r>
        <w:rPr>
          <w:lang w:val="en-US"/>
        </w:rPr>
        <w:t xml:space="preserve"> (New York: Russel &amp;Russel, 1973), p.117.</w:t>
      </w:r>
    </w:p>
  </w:footnote>
  <w:footnote w:id="40">
    <w:p>
      <w:pPr>
        <w:pStyle w:val="4"/>
        <w:ind w:firstLine="720"/>
        <w:jc w:val="both"/>
        <w:rPr>
          <w:lang w:val="en-US"/>
        </w:rPr>
      </w:pPr>
      <w:r>
        <w:rPr>
          <w:rStyle w:val="6"/>
          <w:rFonts w:eastAsia="Calibri"/>
        </w:rPr>
        <w:footnoteRef/>
      </w:r>
      <w:r>
        <w:t xml:space="preserve">Lihat Hans Kelsen, </w:t>
      </w:r>
      <w:r>
        <w:rPr>
          <w:i/>
          <w:lang w:val="en-US"/>
        </w:rPr>
        <w:t>op.cit.</w:t>
      </w:r>
      <w:r>
        <w:t xml:space="preserve">, </w:t>
      </w:r>
      <w:r>
        <w:rPr>
          <w:lang w:val="en-US"/>
        </w:rPr>
        <w:t>pp</w:t>
      </w:r>
      <w:r>
        <w:t>. 123-124.</w:t>
      </w:r>
      <w:r>
        <w:rPr>
          <w:lang w:val="en-US"/>
        </w:rPr>
        <w:t xml:space="preserve"> Lihat pula Marojahan JS Panjaitan, </w:t>
      </w:r>
      <w:r>
        <w:rPr>
          <w:i/>
          <w:lang w:val="en-US"/>
        </w:rPr>
        <w:t>Pembentukan…op.cit.</w:t>
      </w:r>
      <w:r>
        <w:rPr>
          <w:lang w:val="en-US"/>
        </w:rPr>
        <w:t>, hlm. 117.</w:t>
      </w:r>
    </w:p>
  </w:footnote>
  <w:footnote w:id="41">
    <w:p>
      <w:pPr>
        <w:pStyle w:val="4"/>
        <w:ind w:firstLine="720"/>
        <w:jc w:val="both"/>
        <w:rPr>
          <w:lang w:val="en-US"/>
        </w:rPr>
      </w:pPr>
      <w:r>
        <w:rPr>
          <w:rStyle w:val="6"/>
        </w:rPr>
        <w:footnoteRef/>
      </w:r>
      <w:r>
        <w:rPr>
          <w:lang w:val="en-US"/>
        </w:rPr>
        <w:t xml:space="preserve">Marojahan JS Panjaitan, “Penyelesaian Penyalahgunaan Wewenang yang Menimbulkan Kerugian Negara Menurut Hukum Administrasi Pemerintahan”, </w:t>
      </w:r>
      <w:r>
        <w:rPr>
          <w:i/>
          <w:lang w:val="en-US"/>
        </w:rPr>
        <w:t xml:space="preserve">Jurnal Hukum IUS QUIA IUSTUM </w:t>
      </w:r>
      <w:r>
        <w:rPr>
          <w:lang w:val="en-US"/>
        </w:rPr>
        <w:t>No. 3 Vol.24 (Juli 2017), hlm. 432</w:t>
      </w:r>
    </w:p>
  </w:footnote>
  <w:footnote w:id="42">
    <w:p>
      <w:pPr>
        <w:pStyle w:val="4"/>
        <w:ind w:firstLine="720"/>
        <w:jc w:val="both"/>
        <w:rPr>
          <w:lang w:val="en-US"/>
        </w:rPr>
      </w:pPr>
      <w:r>
        <w:rPr>
          <w:rStyle w:val="6"/>
        </w:rPr>
        <w:footnoteRef/>
      </w:r>
      <w:r>
        <w:rPr>
          <w:lang w:val="en-US"/>
        </w:rPr>
        <w:t xml:space="preserve">Zaki Ulya, “Pertangungjawaban Pejabat Pemerintahan dalam Menetapkan Diskresi terhadap Putusan Mahkamah Konstitusi Nomor 25/PUU-XIV/2016”, </w:t>
      </w:r>
      <w:r>
        <w:rPr>
          <w:i/>
          <w:lang w:val="en-US"/>
        </w:rPr>
        <w:t>Jurnal Hukum IUS QUIA IUSTUM</w:t>
      </w:r>
      <w:r>
        <w:rPr>
          <w:lang w:val="en-US"/>
        </w:rPr>
        <w:t xml:space="preserve"> NO. 3 VOL. 24 (Juli 2017), hlm. 422.</w:t>
      </w:r>
    </w:p>
  </w:footnote>
  <w:footnote w:id="43">
    <w:p>
      <w:pPr>
        <w:pStyle w:val="4"/>
        <w:ind w:firstLine="720"/>
        <w:jc w:val="both"/>
        <w:rPr>
          <w:lang w:val="en-US"/>
        </w:rPr>
      </w:pPr>
      <w:r>
        <w:rPr>
          <w:rStyle w:val="6"/>
        </w:rPr>
        <w:footnoteRef/>
      </w:r>
      <w:r>
        <w:rPr>
          <w:lang w:val="en-US"/>
        </w:rPr>
        <w:t xml:space="preserve">Fatkhurohman, “Implikasi Pembatalan Perda Terhadap Ketepatan Proporsi Teori Penegakan Hukum Dalam Sistem Peradilan di Indonesia”, </w:t>
      </w:r>
      <w:r>
        <w:rPr>
          <w:i/>
          <w:lang w:val="en-US"/>
        </w:rPr>
        <w:t>Jurnal Dinamika Hukum</w:t>
      </w:r>
      <w:r>
        <w:rPr>
          <w:lang w:val="en-US"/>
        </w:rPr>
        <w:t>, Vol. 13 No. 1 (Januari 2013), hlm. 19.</w:t>
      </w:r>
      <w:r>
        <w:t xml:space="preserve"> </w:t>
      </w:r>
    </w:p>
  </w:footnote>
  <w:footnote w:id="44">
    <w:p>
      <w:pPr>
        <w:pStyle w:val="4"/>
        <w:ind w:firstLine="720"/>
        <w:rPr>
          <w:lang w:val="en-US"/>
        </w:rPr>
      </w:pPr>
      <w:r>
        <w:rPr>
          <w:rStyle w:val="6"/>
        </w:rPr>
        <w:footnoteRef/>
      </w:r>
      <w:r>
        <w:rPr>
          <w:lang w:val="en-US"/>
        </w:rPr>
        <w:t xml:space="preserve">Lihat Marojahan JS Panjaitan, </w:t>
      </w:r>
      <w:r>
        <w:rPr>
          <w:i/>
          <w:lang w:val="en-US"/>
        </w:rPr>
        <w:t>Pembentukan…op.cit.</w:t>
      </w:r>
      <w:r>
        <w:rPr>
          <w:lang w:val="en-US"/>
        </w:rPr>
        <w:t>, hlm.134-135.</w:t>
      </w:r>
      <w:r>
        <w:t xml:space="preserve"> </w:t>
      </w:r>
    </w:p>
  </w:footnote>
  <w:footnote w:id="45">
    <w:p>
      <w:pPr>
        <w:pStyle w:val="4"/>
        <w:ind w:firstLine="720"/>
        <w:jc w:val="both"/>
        <w:rPr>
          <w:lang w:val="en-US"/>
        </w:rPr>
      </w:pPr>
      <w:r>
        <w:rPr>
          <w:rStyle w:val="6"/>
        </w:rPr>
        <w:footnoteRef/>
      </w:r>
      <w:r>
        <w:rPr>
          <w:i/>
          <w:lang w:val="en-US"/>
        </w:rPr>
        <w:t>ibid</w:t>
      </w:r>
      <w:r>
        <w:rPr>
          <w:lang w:val="en-US"/>
        </w:rPr>
        <w:t>, hlm. 16.</w:t>
      </w:r>
      <w:r>
        <w:t xml:space="preserve"> </w:t>
      </w:r>
    </w:p>
  </w:footnote>
  <w:footnote w:id="46">
    <w:p>
      <w:pPr>
        <w:pStyle w:val="4"/>
        <w:ind w:firstLine="720"/>
        <w:jc w:val="both"/>
        <w:rPr>
          <w:lang w:val="en-US"/>
        </w:rPr>
      </w:pPr>
      <w:r>
        <w:rPr>
          <w:rStyle w:val="6"/>
        </w:rPr>
        <w:footnoteRef/>
      </w:r>
      <w:r>
        <w:rPr>
          <w:lang w:val="en-US"/>
        </w:rPr>
        <w:t>Enrico Simanjuntak, “Pengujian Perda dan Perdes Pasca Perubahan UU Pemda dan UU Desa, ”</w:t>
      </w:r>
      <w:r>
        <w:rPr>
          <w:i/>
          <w:lang w:val="en-US"/>
        </w:rPr>
        <w:t>Jurnal Konstitusi</w:t>
      </w:r>
      <w:r>
        <w:rPr>
          <w:lang w:val="en-US"/>
        </w:rPr>
        <w:t>, Volume 13 Nomor 3 (September 2016), hlm.653</w:t>
      </w:r>
      <w:r>
        <w:t xml:space="preserve"> </w:t>
      </w:r>
    </w:p>
  </w:footnote>
  <w:footnote w:id="47">
    <w:p>
      <w:pPr>
        <w:pStyle w:val="4"/>
        <w:ind w:firstLine="720"/>
        <w:jc w:val="both"/>
        <w:rPr>
          <w:i/>
          <w:lang w:val="en-US"/>
        </w:rPr>
      </w:pPr>
      <w:r>
        <w:rPr>
          <w:rStyle w:val="6"/>
        </w:rPr>
        <w:footnoteRef/>
      </w:r>
      <w:r>
        <w:rPr>
          <w:i/>
          <w:lang w:val="en-US"/>
        </w:rPr>
        <w:t>Ibid.</w:t>
      </w:r>
    </w:p>
  </w:footnote>
  <w:footnote w:id="48">
    <w:p>
      <w:pPr>
        <w:spacing w:line="240" w:lineRule="auto"/>
        <w:ind w:firstLine="720"/>
        <w:jc w:val="both"/>
        <w:rPr>
          <w:rFonts w:ascii="Times New Roman" w:hAnsi="Times New Roman" w:cs="Times New Roman"/>
          <w:sz w:val="20"/>
          <w:szCs w:val="20"/>
        </w:rPr>
      </w:pPr>
      <w:r>
        <w:rPr>
          <w:rStyle w:val="6"/>
          <w:rFonts w:ascii="Times New Roman" w:hAnsi="Times New Roman" w:cs="Times New Roman"/>
          <w:sz w:val="20"/>
          <w:szCs w:val="20"/>
        </w:rPr>
        <w:footnoteRef/>
      </w:r>
      <w:r>
        <w:rPr>
          <w:rFonts w:ascii="Times New Roman" w:hAnsi="Times New Roman" w:cs="Times New Roman"/>
          <w:sz w:val="20"/>
          <w:szCs w:val="20"/>
        </w:rPr>
        <w:t xml:space="preserve">Isrok, “Korelasi Antara Peraturan Daerah (Perda) Bermasalah Dengan Tingkat InvestasinKe Daerah,” </w:t>
      </w:r>
      <w:r>
        <w:rPr>
          <w:rFonts w:ascii="Times New Roman" w:hAnsi="Times New Roman" w:cs="Times New Roman"/>
          <w:i/>
          <w:sz w:val="20"/>
          <w:szCs w:val="20"/>
        </w:rPr>
        <w:t>Jurnal Hukum</w:t>
      </w:r>
      <w:r>
        <w:rPr>
          <w:rFonts w:ascii="Times New Roman" w:hAnsi="Times New Roman" w:cs="Times New Roman"/>
          <w:sz w:val="20"/>
          <w:szCs w:val="20"/>
        </w:rPr>
        <w:t xml:space="preserve">, Vol. 16 No. 4, (Oktober 2009), hlm. 561, diakses 29 Maret 2018, </w:t>
      </w:r>
      <w:r>
        <w:fldChar w:fldCharType="begin"/>
      </w:r>
      <w:r>
        <w:instrText xml:space="preserve"> HYPERLINK </w:instrText>
      </w:r>
      <w:r>
        <w:fldChar w:fldCharType="separate"/>
      </w:r>
      <w:r>
        <w:rPr>
          <w:rStyle w:val="7"/>
          <w:rFonts w:ascii="Times New Roman" w:hAnsi="Times New Roman" w:cs="Times New Roman"/>
          <w:color w:val="auto"/>
          <w:sz w:val="20"/>
          <w:szCs w:val="20"/>
          <w:u w:val="none"/>
        </w:rPr>
        <w:t>https://media. neliti. com /media /publications/82820-ID-korelasi-antara-peraturan-daerah-perda-b.pdf</w:t>
      </w:r>
      <w:r>
        <w:rPr>
          <w:rStyle w:val="7"/>
          <w:rFonts w:ascii="Times New Roman" w:hAnsi="Times New Roman" w:cs="Times New Roman"/>
          <w:color w:val="auto"/>
          <w:sz w:val="20"/>
          <w:szCs w:val="20"/>
          <w:u w:val="none"/>
        </w:rPr>
        <w:fldChar w:fldCharType="end"/>
      </w:r>
      <w:r>
        <w:rPr>
          <w:rFonts w:ascii="Times New Roman" w:hAnsi="Times New Roman" w:cs="Times New Roman"/>
          <w:sz w:val="20"/>
          <w:szCs w:val="20"/>
        </w:rPr>
        <w:t>.</w:t>
      </w:r>
    </w:p>
  </w:footnote>
  <w:footnote w:id="49">
    <w:p>
      <w:pPr>
        <w:pStyle w:val="4"/>
        <w:ind w:firstLine="720"/>
        <w:jc w:val="both"/>
        <w:rPr>
          <w:lang w:val="en-US"/>
        </w:rPr>
      </w:pPr>
      <w:r>
        <w:rPr>
          <w:rStyle w:val="6"/>
        </w:rPr>
        <w:footnoteRef/>
      </w:r>
      <w:r>
        <w:rPr>
          <w:lang w:val="en-US"/>
        </w:rPr>
        <w:t xml:space="preserve">Kementerian Dalam Negeri, “Daftar Perda/Perkada dan Peraturan Menteri Dalam Negeri yang Dibatalkan/Revisi,” </w:t>
      </w:r>
      <w:r>
        <w:fldChar w:fldCharType="begin"/>
      </w:r>
      <w:r>
        <w:instrText xml:space="preserve"> HYPERLINK "http://www.kemendagri.go.id/media/filemanager/2016/06/21/b/a/batal_perda_21_juni_2016_pdf" </w:instrText>
      </w:r>
      <w:r>
        <w:fldChar w:fldCharType="separate"/>
      </w:r>
      <w:r>
        <w:rPr>
          <w:rStyle w:val="7"/>
          <w:color w:val="auto"/>
          <w:u w:val="none"/>
          <w:lang w:val="en-US"/>
        </w:rPr>
        <w:t>www. kemendagri. go .id/ media /file manager /2016 /06/ 21/b/a/ batal_perda_21_juni_2016_pdf</w:t>
      </w:r>
      <w:r>
        <w:rPr>
          <w:rStyle w:val="7"/>
          <w:color w:val="auto"/>
          <w:u w:val="none"/>
          <w:lang w:val="en-US"/>
        </w:rPr>
        <w:fldChar w:fldCharType="end"/>
      </w:r>
      <w:r>
        <w:rPr>
          <w:lang w:val="en-US"/>
        </w:rPr>
        <w:t>, diakses 31 Maret 2018.</w:t>
      </w:r>
    </w:p>
  </w:footnote>
  <w:footnote w:id="50">
    <w:p>
      <w:pPr>
        <w:pStyle w:val="4"/>
        <w:ind w:firstLine="720"/>
        <w:jc w:val="both"/>
        <w:rPr>
          <w:lang w:val="en-US"/>
        </w:rPr>
      </w:pPr>
      <w:r>
        <w:rPr>
          <w:rStyle w:val="6"/>
        </w:rPr>
        <w:footnoteRef/>
      </w:r>
      <w:r>
        <w:rPr>
          <w:lang w:val="en-US"/>
        </w:rPr>
        <w:t xml:space="preserve">M. Nur Sholikin, “Penghapusan Kewenangan Pemerintah Untuk Membatalkan Perda; Momentum Mengefektifkan Pengawasan Preventif dan Pelaksanaan Hak Uji Materiel MA,” </w:t>
      </w:r>
      <w:r>
        <w:rPr>
          <w:i/>
          <w:lang w:val="en-US"/>
        </w:rPr>
        <w:t>Jurnal Rechtsvinding, Media Pembinaan Hukum Nasional</w:t>
      </w:r>
      <w:r>
        <w:rPr>
          <w:lang w:val="en-US"/>
        </w:rPr>
        <w:t xml:space="preserve">, hlm. 4-5, diakses 29 Maret 2018, </w:t>
      </w:r>
      <w:r>
        <w:fldChar w:fldCharType="begin"/>
      </w:r>
      <w:r>
        <w:instrText xml:space="preserve"> HYPERLINK "http://rechtsvinding.bphn.go.id/jurnal_online/Putusan%20PUU%20Pembatalan%20Perda.pdf" </w:instrText>
      </w:r>
      <w:r>
        <w:fldChar w:fldCharType="separate"/>
      </w:r>
      <w:r>
        <w:rPr>
          <w:rStyle w:val="7"/>
          <w:color w:val="auto"/>
          <w:u w:val="none"/>
        </w:rPr>
        <w:t>http://rechtsvinding.bphn.go.id/jurnal_online/Putusan%20PUU%20Pembatalan%20Perda.pdf</w:t>
      </w:r>
      <w:r>
        <w:rPr>
          <w:rStyle w:val="7"/>
          <w:color w:val="auto"/>
          <w:u w:val="none"/>
        </w:rPr>
        <w:fldChar w:fldCharType="end"/>
      </w:r>
    </w:p>
  </w:footnote>
  <w:footnote w:id="51">
    <w:p>
      <w:pPr>
        <w:pStyle w:val="4"/>
        <w:ind w:firstLine="720"/>
        <w:jc w:val="both"/>
        <w:rPr>
          <w:lang w:val="en-US"/>
        </w:rPr>
      </w:pPr>
      <w:r>
        <w:rPr>
          <w:rStyle w:val="6"/>
        </w:rPr>
        <w:footnoteRef/>
      </w:r>
      <w:r>
        <w:rPr>
          <w:i/>
          <w:lang w:val="en-US"/>
        </w:rPr>
        <w:t>Ibid</w:t>
      </w:r>
      <w:r>
        <w:rPr>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4BD66B"/>
    <w:multiLevelType w:val="singleLevel"/>
    <w:tmpl w:val="B54BD66B"/>
    <w:lvl w:ilvl="0" w:tentative="0">
      <w:start w:val="1"/>
      <w:numFmt w:val="decimal"/>
      <w:lvlText w:val="%1."/>
      <w:lvlJc w:val="left"/>
      <w:pPr>
        <w:tabs>
          <w:tab w:val="left" w:pos="425"/>
        </w:tabs>
        <w:ind w:left="425" w:leftChars="0" w:hanging="425" w:firstLineChars="0"/>
      </w:pPr>
      <w:rPr>
        <w:rFonts w:hint="default"/>
      </w:rPr>
    </w:lvl>
  </w:abstractNum>
  <w:abstractNum w:abstractNumId="1">
    <w:nsid w:val="D5ED4E92"/>
    <w:multiLevelType w:val="singleLevel"/>
    <w:tmpl w:val="D5ED4E92"/>
    <w:lvl w:ilvl="0" w:tentative="0">
      <w:start w:val="1"/>
      <w:numFmt w:val="upperLetter"/>
      <w:lvlText w:val="%1."/>
      <w:lvlJc w:val="left"/>
      <w:pPr>
        <w:tabs>
          <w:tab w:val="left" w:pos="425"/>
        </w:tabs>
        <w:ind w:left="425" w:leftChars="0" w:hanging="425" w:firstLineChars="0"/>
      </w:pPr>
      <w:rPr>
        <w:rFonts w:hint="default"/>
      </w:rPr>
    </w:lvl>
  </w:abstractNum>
  <w:abstractNum w:abstractNumId="2">
    <w:nsid w:val="017356F0"/>
    <w:multiLevelType w:val="multilevel"/>
    <w:tmpl w:val="017356F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8362B6C"/>
    <w:multiLevelType w:val="multilevel"/>
    <w:tmpl w:val="08362B6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134394F"/>
    <w:multiLevelType w:val="multilevel"/>
    <w:tmpl w:val="1134394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C6094F"/>
    <w:multiLevelType w:val="multilevel"/>
    <w:tmpl w:val="15C6094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5ED4BF4"/>
    <w:multiLevelType w:val="multilevel"/>
    <w:tmpl w:val="15ED4BF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7E02134"/>
    <w:multiLevelType w:val="multilevel"/>
    <w:tmpl w:val="17E02134"/>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1800"/>
        </w:tabs>
        <w:ind w:left="1800" w:hanging="360"/>
      </w:pPr>
      <w:rPr>
        <w:rFonts w:ascii="Times New Roman" w:hAnsi="Times New Roman" w:eastAsia="Times New Roman" w:cs="Times New Roman"/>
      </w:rPr>
    </w:lvl>
    <w:lvl w:ilvl="2" w:tentative="0">
      <w:start w:val="1"/>
      <w:numFmt w:val="decimal"/>
      <w:lvlText w:val="%3."/>
      <w:lvlJc w:val="left"/>
      <w:pPr>
        <w:tabs>
          <w:tab w:val="left" w:pos="1440"/>
        </w:tabs>
        <w:ind w:left="1440" w:hanging="360"/>
      </w:pPr>
      <w:rPr>
        <w:rFonts w:hint="default"/>
      </w:rPr>
    </w:lvl>
    <w:lvl w:ilvl="3" w:tentative="0">
      <w:start w:val="1"/>
      <w:numFmt w:val="lowerLetter"/>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lowerLetter"/>
      <w:lvlText w:val="(%6)"/>
      <w:lvlJc w:val="left"/>
      <w:pPr>
        <w:ind w:left="4500" w:hanging="360"/>
      </w:pPr>
      <w:rPr>
        <w:rFonts w:hint="default"/>
      </w:rPr>
    </w:lvl>
    <w:lvl w:ilvl="6" w:tentative="0">
      <w:start w:val="1"/>
      <w:numFmt w:val="decimal"/>
      <w:lvlText w:val="(%7)"/>
      <w:lvlJc w:val="left"/>
      <w:pPr>
        <w:ind w:left="5040" w:hanging="360"/>
      </w:pPr>
      <w:rPr>
        <w:rFonts w:hint="default"/>
      </w:r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8">
    <w:nsid w:val="19A458AC"/>
    <w:multiLevelType w:val="multilevel"/>
    <w:tmpl w:val="19A458AC"/>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BF9481E"/>
    <w:multiLevelType w:val="multilevel"/>
    <w:tmpl w:val="1BF9481E"/>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
    <w:nsid w:val="1C897DA6"/>
    <w:multiLevelType w:val="multilevel"/>
    <w:tmpl w:val="1C897DA6"/>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07734E4"/>
    <w:multiLevelType w:val="multilevel"/>
    <w:tmpl w:val="207734E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229323D6"/>
    <w:multiLevelType w:val="multilevel"/>
    <w:tmpl w:val="229323D6"/>
    <w:lvl w:ilvl="0" w:tentative="0">
      <w:start w:val="1"/>
      <w:numFmt w:val="upperLetter"/>
      <w:lvlText w:val="%1."/>
      <w:lvlJc w:val="left"/>
      <w:pPr>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22DF0554"/>
    <w:multiLevelType w:val="multilevel"/>
    <w:tmpl w:val="22DF0554"/>
    <w:lvl w:ilvl="0" w:tentative="0">
      <w:start w:val="1"/>
      <w:numFmt w:val="lowerLetter"/>
      <w:lvlText w:val="%1."/>
      <w:lvlJc w:val="left"/>
      <w:pPr>
        <w:ind w:left="1080" w:hanging="360"/>
      </w:pPr>
      <w:rPr>
        <w:rFonts w:hint="default"/>
      </w:rPr>
    </w:lvl>
    <w:lvl w:ilvl="1" w:tentative="0">
      <w:start w:val="1"/>
      <w:numFmt w:val="decimal"/>
      <w:lvlText w:val="(%2)"/>
      <w:lvlJc w:val="left"/>
      <w:pPr>
        <w:ind w:left="1890" w:hanging="450"/>
      </w:pPr>
      <w:rPr>
        <w:rFonts w:hint="default"/>
      </w:r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4">
    <w:nsid w:val="2AC570E6"/>
    <w:multiLevelType w:val="multilevel"/>
    <w:tmpl w:val="2AC570E6"/>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34961438"/>
    <w:multiLevelType w:val="multilevel"/>
    <w:tmpl w:val="3496143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4AB375F"/>
    <w:multiLevelType w:val="multilevel"/>
    <w:tmpl w:val="34AB375F"/>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B9E4C4B"/>
    <w:multiLevelType w:val="multilevel"/>
    <w:tmpl w:val="3B9E4C4B"/>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8">
    <w:nsid w:val="3BF2EFE3"/>
    <w:multiLevelType w:val="singleLevel"/>
    <w:tmpl w:val="3BF2EFE3"/>
    <w:lvl w:ilvl="0" w:tentative="0">
      <w:start w:val="1"/>
      <w:numFmt w:val="upperLetter"/>
      <w:lvlText w:val="%1."/>
      <w:lvlJc w:val="left"/>
      <w:pPr>
        <w:tabs>
          <w:tab w:val="left" w:pos="425"/>
        </w:tabs>
        <w:ind w:left="425" w:leftChars="0" w:hanging="425" w:firstLineChars="0"/>
      </w:pPr>
      <w:rPr>
        <w:rFonts w:hint="default"/>
      </w:rPr>
    </w:lvl>
  </w:abstractNum>
  <w:abstractNum w:abstractNumId="19">
    <w:nsid w:val="3D4C5558"/>
    <w:multiLevelType w:val="multilevel"/>
    <w:tmpl w:val="3D4C555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DF65570"/>
    <w:multiLevelType w:val="multilevel"/>
    <w:tmpl w:val="3DF65570"/>
    <w:lvl w:ilvl="0" w:tentative="0">
      <w:start w:val="1"/>
      <w:numFmt w:val="decimal"/>
      <w:lvlText w:val="%1."/>
      <w:lvlJc w:val="left"/>
      <w:pPr>
        <w:ind w:left="720" w:hanging="360"/>
      </w:pPr>
      <w:rPr>
        <w:rFonts w:ascii="Times New Roman" w:hAnsi="Times New Roman" w:eastAsia="Times New Roman" w:cs="Times New Roman"/>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F584773"/>
    <w:multiLevelType w:val="multilevel"/>
    <w:tmpl w:val="3F58477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423369FA"/>
    <w:multiLevelType w:val="multilevel"/>
    <w:tmpl w:val="423369FA"/>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3">
    <w:nsid w:val="47263DF6"/>
    <w:multiLevelType w:val="multilevel"/>
    <w:tmpl w:val="47263DF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7E71CC4"/>
    <w:multiLevelType w:val="multilevel"/>
    <w:tmpl w:val="47E71CC4"/>
    <w:lvl w:ilvl="0" w:tentative="0">
      <w:start w:val="1"/>
      <w:numFmt w:val="lowerLetter"/>
      <w:lvlText w:val="%1."/>
      <w:lvlJc w:val="left"/>
      <w:pPr>
        <w:ind w:left="1080" w:hanging="360"/>
      </w:pPr>
    </w:lvl>
    <w:lvl w:ilvl="1" w:tentative="0">
      <w:start w:val="1"/>
      <w:numFmt w:val="decimal"/>
      <w:lvlText w:val="%2."/>
      <w:lvlJc w:val="left"/>
      <w:pPr>
        <w:ind w:left="1800" w:hanging="360"/>
      </w:pPr>
      <w:rPr>
        <w:rFonts w:ascii="Times New Roman" w:hAnsi="Times New Roman" w:cs="Times New Roman" w:eastAsiaTheme="minorHAnsi"/>
      </w:r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5">
    <w:nsid w:val="52815318"/>
    <w:multiLevelType w:val="multilevel"/>
    <w:tmpl w:val="52815318"/>
    <w:lvl w:ilvl="0" w:tentative="0">
      <w:start w:val="1"/>
      <w:numFmt w:val="decimal"/>
      <w:lvlText w:val="%1."/>
      <w:lvlJc w:val="left"/>
      <w:pPr>
        <w:ind w:left="660" w:hanging="360"/>
      </w:pPr>
      <w:rPr>
        <w:rFonts w:hint="default"/>
      </w:rPr>
    </w:lvl>
    <w:lvl w:ilvl="1" w:tentative="0">
      <w:start w:val="1"/>
      <w:numFmt w:val="lowerLetter"/>
      <w:lvlText w:val="%2."/>
      <w:lvlJc w:val="left"/>
      <w:pPr>
        <w:ind w:left="1380" w:hanging="360"/>
      </w:pPr>
    </w:lvl>
    <w:lvl w:ilvl="2" w:tentative="0">
      <w:start w:val="1"/>
      <w:numFmt w:val="lowerRoman"/>
      <w:lvlText w:val="%3."/>
      <w:lvlJc w:val="right"/>
      <w:pPr>
        <w:ind w:left="2100" w:hanging="180"/>
      </w:pPr>
    </w:lvl>
    <w:lvl w:ilvl="3" w:tentative="0">
      <w:start w:val="1"/>
      <w:numFmt w:val="decimal"/>
      <w:lvlText w:val="%4."/>
      <w:lvlJc w:val="left"/>
      <w:pPr>
        <w:ind w:left="2820" w:hanging="360"/>
      </w:pPr>
    </w:lvl>
    <w:lvl w:ilvl="4" w:tentative="0">
      <w:start w:val="1"/>
      <w:numFmt w:val="lowerLetter"/>
      <w:lvlText w:val="%5."/>
      <w:lvlJc w:val="left"/>
      <w:pPr>
        <w:ind w:left="3540" w:hanging="360"/>
      </w:pPr>
    </w:lvl>
    <w:lvl w:ilvl="5" w:tentative="0">
      <w:start w:val="1"/>
      <w:numFmt w:val="lowerRoman"/>
      <w:lvlText w:val="%6."/>
      <w:lvlJc w:val="right"/>
      <w:pPr>
        <w:ind w:left="4260" w:hanging="180"/>
      </w:pPr>
    </w:lvl>
    <w:lvl w:ilvl="6" w:tentative="0">
      <w:start w:val="1"/>
      <w:numFmt w:val="decimal"/>
      <w:lvlText w:val="%7."/>
      <w:lvlJc w:val="left"/>
      <w:pPr>
        <w:ind w:left="4980" w:hanging="360"/>
      </w:pPr>
    </w:lvl>
    <w:lvl w:ilvl="7" w:tentative="0">
      <w:start w:val="1"/>
      <w:numFmt w:val="lowerLetter"/>
      <w:lvlText w:val="%8."/>
      <w:lvlJc w:val="left"/>
      <w:pPr>
        <w:ind w:left="5700" w:hanging="360"/>
      </w:pPr>
    </w:lvl>
    <w:lvl w:ilvl="8" w:tentative="0">
      <w:start w:val="1"/>
      <w:numFmt w:val="lowerRoman"/>
      <w:lvlText w:val="%9."/>
      <w:lvlJc w:val="right"/>
      <w:pPr>
        <w:ind w:left="6420" w:hanging="180"/>
      </w:pPr>
    </w:lvl>
  </w:abstractNum>
  <w:abstractNum w:abstractNumId="26">
    <w:nsid w:val="52834B25"/>
    <w:multiLevelType w:val="singleLevel"/>
    <w:tmpl w:val="52834B25"/>
    <w:lvl w:ilvl="0" w:tentative="0">
      <w:start w:val="1"/>
      <w:numFmt w:val="decimal"/>
      <w:lvlText w:val="%1."/>
      <w:lvlJc w:val="left"/>
      <w:pPr>
        <w:tabs>
          <w:tab w:val="left" w:pos="425"/>
        </w:tabs>
        <w:ind w:left="425" w:leftChars="0" w:hanging="425" w:firstLineChars="0"/>
      </w:pPr>
      <w:rPr>
        <w:rFonts w:hint="default"/>
      </w:rPr>
    </w:lvl>
  </w:abstractNum>
  <w:abstractNum w:abstractNumId="27">
    <w:nsid w:val="55DBF669"/>
    <w:multiLevelType w:val="singleLevel"/>
    <w:tmpl w:val="55DBF669"/>
    <w:lvl w:ilvl="0" w:tentative="0">
      <w:start w:val="3"/>
      <w:numFmt w:val="decimal"/>
      <w:lvlText w:val="%1."/>
      <w:lvlJc w:val="left"/>
      <w:pPr>
        <w:tabs>
          <w:tab w:val="left" w:pos="425"/>
        </w:tabs>
        <w:ind w:left="425" w:leftChars="0" w:hanging="425" w:firstLineChars="0"/>
      </w:pPr>
      <w:rPr>
        <w:rFonts w:hint="default"/>
      </w:rPr>
    </w:lvl>
  </w:abstractNum>
  <w:abstractNum w:abstractNumId="28">
    <w:nsid w:val="56FA0811"/>
    <w:multiLevelType w:val="multilevel"/>
    <w:tmpl w:val="56FA081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DA96CD0"/>
    <w:multiLevelType w:val="multilevel"/>
    <w:tmpl w:val="5DA96CD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60945FEF"/>
    <w:multiLevelType w:val="multilevel"/>
    <w:tmpl w:val="60945FE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4671CCF"/>
    <w:multiLevelType w:val="multilevel"/>
    <w:tmpl w:val="64671CC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67A86A49"/>
    <w:multiLevelType w:val="multilevel"/>
    <w:tmpl w:val="67A86A49"/>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3">
    <w:nsid w:val="697A49D8"/>
    <w:multiLevelType w:val="multilevel"/>
    <w:tmpl w:val="697A49D8"/>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6B765513"/>
    <w:multiLevelType w:val="multilevel"/>
    <w:tmpl w:val="6B765513"/>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DEA6EBF"/>
    <w:multiLevelType w:val="multilevel"/>
    <w:tmpl w:val="6DEA6EB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E6F5ECD"/>
    <w:multiLevelType w:val="multilevel"/>
    <w:tmpl w:val="6E6F5ECD"/>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7">
    <w:nsid w:val="6F8F1C5A"/>
    <w:multiLevelType w:val="multilevel"/>
    <w:tmpl w:val="6F8F1C5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727428B3"/>
    <w:multiLevelType w:val="multilevel"/>
    <w:tmpl w:val="727428B3"/>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9">
    <w:nsid w:val="7A9D8D20"/>
    <w:multiLevelType w:val="singleLevel"/>
    <w:tmpl w:val="7A9D8D20"/>
    <w:lvl w:ilvl="0" w:tentative="0">
      <w:start w:val="1"/>
      <w:numFmt w:val="upperLetter"/>
      <w:lvlText w:val="%1."/>
      <w:lvlJc w:val="left"/>
      <w:pPr>
        <w:tabs>
          <w:tab w:val="left" w:pos="425"/>
        </w:tabs>
        <w:ind w:left="425" w:leftChars="0" w:hanging="425" w:firstLineChars="0"/>
      </w:pPr>
      <w:rPr>
        <w:rFonts w:hint="default"/>
      </w:rPr>
    </w:lvl>
  </w:abstractNum>
  <w:abstractNum w:abstractNumId="40">
    <w:nsid w:val="7AA85B05"/>
    <w:multiLevelType w:val="multilevel"/>
    <w:tmpl w:val="7AA85B0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B7B607D"/>
    <w:multiLevelType w:val="multilevel"/>
    <w:tmpl w:val="7B7B607D"/>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2">
    <w:nsid w:val="7BE55890"/>
    <w:multiLevelType w:val="multilevel"/>
    <w:tmpl w:val="7BE5589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7E170DA1"/>
    <w:multiLevelType w:val="multilevel"/>
    <w:tmpl w:val="7E170DA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7"/>
  </w:num>
  <w:num w:numId="2">
    <w:abstractNumId w:val="23"/>
  </w:num>
  <w:num w:numId="3">
    <w:abstractNumId w:val="40"/>
  </w:num>
  <w:num w:numId="4">
    <w:abstractNumId w:val="8"/>
  </w:num>
  <w:num w:numId="5">
    <w:abstractNumId w:val="33"/>
  </w:num>
  <w:num w:numId="6">
    <w:abstractNumId w:val="17"/>
  </w:num>
  <w:num w:numId="7">
    <w:abstractNumId w:val="16"/>
  </w:num>
  <w:num w:numId="8">
    <w:abstractNumId w:val="14"/>
  </w:num>
  <w:num w:numId="9">
    <w:abstractNumId w:val="41"/>
  </w:num>
  <w:num w:numId="10">
    <w:abstractNumId w:val="10"/>
  </w:num>
  <w:num w:numId="11">
    <w:abstractNumId w:val="12"/>
  </w:num>
  <w:num w:numId="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29"/>
  </w:num>
  <w:num w:numId="15">
    <w:abstractNumId w:val="20"/>
  </w:num>
  <w:num w:numId="16">
    <w:abstractNumId w:val="39"/>
  </w:num>
  <w:num w:numId="17">
    <w:abstractNumId w:val="26"/>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38"/>
  </w:num>
  <w:num w:numId="22">
    <w:abstractNumId w:val="42"/>
  </w:num>
  <w:num w:numId="23">
    <w:abstractNumId w:val="36"/>
  </w:num>
  <w:num w:numId="24">
    <w:abstractNumId w:val="9"/>
  </w:num>
  <w:num w:numId="25">
    <w:abstractNumId w:val="35"/>
  </w:num>
  <w:num w:numId="26">
    <w:abstractNumId w:val="22"/>
  </w:num>
  <w:num w:numId="27">
    <w:abstractNumId w:val="32"/>
  </w:num>
  <w:num w:numId="28">
    <w:abstractNumId w:val="4"/>
  </w:num>
  <w:num w:numId="29">
    <w:abstractNumId w:val="13"/>
  </w:num>
  <w:num w:numId="30">
    <w:abstractNumId w:val="7"/>
  </w:num>
  <w:num w:numId="31">
    <w:abstractNumId w:val="11"/>
  </w:num>
  <w:num w:numId="32">
    <w:abstractNumId w:val="27"/>
  </w:num>
  <w:num w:numId="33">
    <w:abstractNumId w:val="1"/>
  </w:num>
  <w:num w:numId="34">
    <w:abstractNumId w:val="19"/>
  </w:num>
  <w:num w:numId="35">
    <w:abstractNumId w:val="25"/>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0"/>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27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671"/>
    <w:rsid w:val="002A2671"/>
    <w:rsid w:val="56741344"/>
    <w:rsid w:val="5F3E5487"/>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0" w:semiHidden="0"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id-ID" w:eastAsia="en-US" w:bidi="ar-SA"/>
    </w:rPr>
  </w:style>
  <w:style w:type="character" w:default="1" w:styleId="5">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unhideWhenUsed/>
    <w:uiPriority w:val="99"/>
    <w:pPr>
      <w:spacing w:after="120" w:line="259" w:lineRule="auto"/>
    </w:pPr>
    <w:rPr>
      <w:rFonts w:ascii="Calibri" w:hAnsi="Calibri" w:eastAsia="Calibri" w:cs="Times New Roman"/>
    </w:rPr>
  </w:style>
  <w:style w:type="paragraph" w:styleId="3">
    <w:name w:val="footer"/>
    <w:basedOn w:val="1"/>
    <w:unhideWhenUsed/>
    <w:qFormat/>
    <w:uiPriority w:val="99"/>
    <w:pPr>
      <w:tabs>
        <w:tab w:val="center" w:pos="4513"/>
        <w:tab w:val="right" w:pos="9026"/>
      </w:tabs>
      <w:spacing w:after="0" w:line="240" w:lineRule="auto"/>
    </w:pPr>
  </w:style>
  <w:style w:type="paragraph" w:styleId="4">
    <w:name w:val="footnote text"/>
    <w:basedOn w:val="1"/>
    <w:unhideWhenUsed/>
    <w:uiPriority w:val="0"/>
    <w:pPr>
      <w:spacing w:after="0" w:line="240" w:lineRule="auto"/>
    </w:pPr>
    <w:rPr>
      <w:rFonts w:ascii="Times New Roman" w:hAnsi="Times New Roman" w:eastAsia="Times New Roman" w:cs="Times New Roman"/>
      <w:sz w:val="20"/>
      <w:szCs w:val="20"/>
      <w:lang w:val="id-ID"/>
    </w:rPr>
  </w:style>
  <w:style w:type="character" w:styleId="6">
    <w:name w:val="footnote reference"/>
    <w:basedOn w:val="5"/>
    <w:unhideWhenUsed/>
    <w:qFormat/>
    <w:uiPriority w:val="0"/>
    <w:rPr>
      <w:vertAlign w:val="superscript"/>
    </w:rPr>
  </w:style>
  <w:style w:type="character" w:styleId="7">
    <w:name w:val="Hyperlink"/>
    <w:basedOn w:val="5"/>
    <w:unhideWhenUsed/>
    <w:qFormat/>
    <w:uiPriority w:val="99"/>
    <w:rPr>
      <w:color w:val="0563C1" w:themeColor="hyperlink"/>
      <w:u w:val="single"/>
      <w14:textFill>
        <w14:solidFill>
          <w14:schemeClr w14:val="hlink"/>
        </w14:solidFill>
      </w14:textFill>
    </w:rPr>
  </w:style>
  <w:style w:type="paragraph" w:customStyle="1" w:styleId="9">
    <w:name w:val="List Paragraph1"/>
    <w:basedOn w:val="1"/>
    <w:qFormat/>
    <w:uiPriority w:val="34"/>
    <w:pPr>
      <w:ind w:left="720"/>
      <w:contextualSpacing/>
    </w:pPr>
  </w:style>
  <w:style w:type="paragraph"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1166</Words>
  <Characters>6650</Characters>
  <Lines>55</Lines>
  <Paragraphs>15</Paragraphs>
  <TotalTime>17</TotalTime>
  <ScaleCrop>false</ScaleCrop>
  <LinksUpToDate>false</LinksUpToDate>
  <CharactersWithSpaces>7801</CharactersWithSpaces>
  <Application>WPS Office_11.2.0.8942_F1E327BC-269C-435d-A152-05C5408002CA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2018-09-12T04:50:00Z</dcterms:created>
  <dc:creator>Marojahan Panjaitan</dc:creator>
  <cp:lastModifiedBy>User</cp:lastModifiedBy>
  <dcterms:modified xsi:type="dcterms:W3CDTF">2019-10-11T07:42:14Z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1033-11.2.0.8942</vt:lpwstr>
  </property>
</Properties>
</file>